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B7EE9" w14:textId="25B7ABC7" w:rsidR="00D10980" w:rsidRPr="005C2040" w:rsidRDefault="000D712A" w:rsidP="00037618">
      <w:pPr>
        <w:spacing w:after="0" w:line="240" w:lineRule="auto"/>
        <w:ind w:right="-20"/>
        <w:rPr>
          <w:rFonts w:cstheme="minorHAnsi"/>
          <w:b/>
          <w:i/>
          <w:sz w:val="28"/>
          <w:szCs w:val="28"/>
        </w:rPr>
      </w:pPr>
      <w:r w:rsidRPr="00EA3AF8">
        <w:rPr>
          <w:rFonts w:ascii="Calibri" w:eastAsia="Calibri" w:hAnsi="Calibri" w:cs="Calibri"/>
          <w:b/>
          <w:i/>
          <w:spacing w:val="-1"/>
          <w:sz w:val="28"/>
          <w:szCs w:val="28"/>
        </w:rPr>
        <w:t xml:space="preserve">Management and </w:t>
      </w:r>
      <w:r w:rsidR="008F2CFA" w:rsidRPr="00EA3AF8">
        <w:rPr>
          <w:rFonts w:ascii="Calibri" w:eastAsia="Calibri" w:hAnsi="Calibri" w:cs="Calibri"/>
          <w:b/>
          <w:i/>
          <w:spacing w:val="-1"/>
          <w:sz w:val="28"/>
          <w:szCs w:val="28"/>
        </w:rPr>
        <w:t xml:space="preserve">Reporting </w:t>
      </w:r>
      <w:r w:rsidRPr="00EA3AF8">
        <w:rPr>
          <w:rFonts w:ascii="Calibri" w:eastAsia="Calibri" w:hAnsi="Calibri" w:cs="Calibri"/>
          <w:b/>
          <w:i/>
          <w:spacing w:val="-1"/>
          <w:sz w:val="28"/>
          <w:szCs w:val="28"/>
        </w:rPr>
        <w:t xml:space="preserve">of </w:t>
      </w:r>
      <w:r w:rsidR="00B06676" w:rsidRPr="00EA3AF8">
        <w:rPr>
          <w:rFonts w:ascii="Calibri" w:eastAsia="Calibri" w:hAnsi="Calibri" w:cs="Calibri"/>
          <w:b/>
          <w:i/>
          <w:spacing w:val="-1"/>
          <w:sz w:val="28"/>
          <w:szCs w:val="28"/>
        </w:rPr>
        <w:t>Adverse Event</w:t>
      </w:r>
      <w:r w:rsidR="001B596B" w:rsidRPr="00EA3AF8">
        <w:rPr>
          <w:rFonts w:ascii="Calibri" w:eastAsia="Calibri" w:hAnsi="Calibri" w:cs="Calibri"/>
          <w:b/>
          <w:i/>
          <w:spacing w:val="-1"/>
          <w:sz w:val="28"/>
          <w:szCs w:val="28"/>
        </w:rPr>
        <w:t>s</w:t>
      </w:r>
      <w:r w:rsidR="0048115B" w:rsidRPr="00EA3AF8">
        <w:rPr>
          <w:rFonts w:ascii="Calibri" w:eastAsia="Calibri" w:hAnsi="Calibri" w:cs="Calibri"/>
          <w:b/>
          <w:i/>
          <w:spacing w:val="-1"/>
          <w:sz w:val="28"/>
          <w:szCs w:val="28"/>
        </w:rPr>
        <w:t>,</w:t>
      </w:r>
      <w:r w:rsidR="00A0123B" w:rsidRPr="00EA3AF8">
        <w:rPr>
          <w:rFonts w:ascii="Calibri" w:eastAsia="Calibri" w:hAnsi="Calibri" w:cs="Calibri"/>
          <w:b/>
          <w:i/>
          <w:spacing w:val="-1"/>
          <w:sz w:val="28"/>
          <w:szCs w:val="28"/>
        </w:rPr>
        <w:t xml:space="preserve"> </w:t>
      </w:r>
      <w:r w:rsidR="009B2E16" w:rsidRPr="005C2040">
        <w:rPr>
          <w:rFonts w:cstheme="minorHAnsi"/>
          <w:b/>
          <w:i/>
          <w:sz w:val="28"/>
          <w:szCs w:val="28"/>
        </w:rPr>
        <w:t xml:space="preserve">Serious </w:t>
      </w:r>
      <w:r w:rsidR="0048115B" w:rsidRPr="005C2040">
        <w:rPr>
          <w:rFonts w:cstheme="minorHAnsi"/>
          <w:b/>
          <w:i/>
          <w:sz w:val="28"/>
          <w:szCs w:val="28"/>
        </w:rPr>
        <w:t>A</w:t>
      </w:r>
      <w:r w:rsidR="009B2E16" w:rsidRPr="005C2040">
        <w:rPr>
          <w:rFonts w:cstheme="minorHAnsi"/>
          <w:b/>
          <w:i/>
          <w:sz w:val="28"/>
          <w:szCs w:val="28"/>
        </w:rPr>
        <w:t xml:space="preserve">dverse </w:t>
      </w:r>
      <w:r w:rsidR="0048115B" w:rsidRPr="005C2040">
        <w:rPr>
          <w:rFonts w:cstheme="minorHAnsi"/>
          <w:b/>
          <w:i/>
          <w:sz w:val="28"/>
          <w:szCs w:val="28"/>
        </w:rPr>
        <w:t>E</w:t>
      </w:r>
      <w:r w:rsidR="009B2E16" w:rsidRPr="005C2040">
        <w:rPr>
          <w:rFonts w:cstheme="minorHAnsi"/>
          <w:b/>
          <w:i/>
          <w:sz w:val="28"/>
          <w:szCs w:val="28"/>
        </w:rPr>
        <w:t>vent</w:t>
      </w:r>
      <w:r w:rsidR="001B596B" w:rsidRPr="005C2040">
        <w:rPr>
          <w:rFonts w:cstheme="minorHAnsi"/>
          <w:b/>
          <w:i/>
          <w:sz w:val="28"/>
          <w:szCs w:val="28"/>
        </w:rPr>
        <w:t>s</w:t>
      </w:r>
      <w:r w:rsidR="0048115B" w:rsidRPr="005C2040">
        <w:rPr>
          <w:rFonts w:cstheme="minorHAnsi"/>
          <w:b/>
          <w:i/>
          <w:sz w:val="28"/>
          <w:szCs w:val="28"/>
        </w:rPr>
        <w:t>,</w:t>
      </w:r>
      <w:r w:rsidR="0069197B" w:rsidRPr="005C2040">
        <w:rPr>
          <w:rFonts w:cstheme="minorHAnsi"/>
          <w:b/>
          <w:i/>
          <w:sz w:val="28"/>
          <w:szCs w:val="28"/>
        </w:rPr>
        <w:t xml:space="preserve"> Unanticipated Adverse Device Effects,</w:t>
      </w:r>
      <w:r w:rsidR="00DA7221" w:rsidRPr="005C2040">
        <w:rPr>
          <w:rFonts w:cstheme="minorHAnsi"/>
          <w:b/>
          <w:i/>
          <w:sz w:val="28"/>
          <w:szCs w:val="28"/>
        </w:rPr>
        <w:t xml:space="preserve"> </w:t>
      </w:r>
      <w:r w:rsidR="009B2E16" w:rsidRPr="005C2040">
        <w:rPr>
          <w:rFonts w:cstheme="minorHAnsi"/>
          <w:b/>
          <w:i/>
          <w:sz w:val="28"/>
          <w:szCs w:val="28"/>
        </w:rPr>
        <w:t xml:space="preserve">and </w:t>
      </w:r>
      <w:r w:rsidR="001B596B" w:rsidRPr="005C2040">
        <w:rPr>
          <w:rFonts w:cstheme="minorHAnsi"/>
          <w:b/>
          <w:i/>
          <w:sz w:val="28"/>
          <w:szCs w:val="28"/>
        </w:rPr>
        <w:t>Unanticipated Problems</w:t>
      </w:r>
    </w:p>
    <w:p w14:paraId="359299B1" w14:textId="77777777" w:rsidR="00037618" w:rsidRDefault="00037618" w:rsidP="00037618">
      <w:pPr>
        <w:spacing w:after="0" w:line="240" w:lineRule="auto"/>
        <w:ind w:right="-20"/>
        <w:rPr>
          <w:rFonts w:ascii="Calibri" w:eastAsia="Calibri" w:hAnsi="Calibri" w:cs="Calibri"/>
          <w:b/>
          <w:bCs/>
          <w:spacing w:val="1"/>
        </w:rPr>
      </w:pPr>
    </w:p>
    <w:p w14:paraId="4F8D24D5" w14:textId="77777777" w:rsidR="00F14432" w:rsidRPr="002D0719" w:rsidRDefault="00F14432" w:rsidP="00F14432">
      <w:pPr>
        <w:pStyle w:val="ListParagraph"/>
        <w:numPr>
          <w:ilvl w:val="0"/>
          <w:numId w:val="10"/>
        </w:numPr>
        <w:spacing w:after="0" w:line="240" w:lineRule="auto"/>
        <w:rPr>
          <w:b/>
        </w:rPr>
      </w:pPr>
      <w:r w:rsidRPr="002D0719">
        <w:rPr>
          <w:b/>
        </w:rPr>
        <w:t>PURPOSE</w:t>
      </w:r>
    </w:p>
    <w:p w14:paraId="4B9FCB96" w14:textId="77777777" w:rsidR="00214188" w:rsidRPr="00214188" w:rsidRDefault="00214188" w:rsidP="00214188">
      <w:pPr>
        <w:pStyle w:val="ListParagraph"/>
        <w:spacing w:after="0" w:line="240" w:lineRule="auto"/>
        <w:ind w:right="-20"/>
        <w:rPr>
          <w:rFonts w:ascii="Calibri" w:eastAsia="Calibri" w:hAnsi="Calibri" w:cs="Calibri"/>
        </w:rPr>
      </w:pPr>
    </w:p>
    <w:p w14:paraId="0758D0A6" w14:textId="4DA722C0" w:rsidR="00ED4FE1" w:rsidRDefault="00B06676" w:rsidP="006014E7">
      <w:pPr>
        <w:spacing w:after="0" w:line="240" w:lineRule="auto"/>
        <w:ind w:left="360" w:right="1020"/>
        <w:rPr>
          <w:rFonts w:ascii="Calibri" w:eastAsia="Calibri" w:hAnsi="Calibri" w:cs="Calibri"/>
          <w:spacing w:val="-1"/>
        </w:rPr>
      </w:pPr>
      <w:r w:rsidRPr="001C50F2">
        <w:rPr>
          <w:rFonts w:ascii="Calibri" w:eastAsia="Calibri" w:hAnsi="Calibri" w:cs="Calibri"/>
          <w:spacing w:val="-1"/>
        </w:rPr>
        <w:t>Th</w:t>
      </w:r>
      <w:r w:rsidR="007C06A2" w:rsidRPr="001C50F2">
        <w:rPr>
          <w:rFonts w:ascii="Calibri" w:eastAsia="Calibri" w:hAnsi="Calibri" w:cs="Calibri"/>
          <w:spacing w:val="-1"/>
        </w:rPr>
        <w:t xml:space="preserve">is </w:t>
      </w:r>
      <w:r w:rsidR="00A0123B" w:rsidRPr="001C50F2">
        <w:rPr>
          <w:rFonts w:ascii="Calibri" w:eastAsia="Calibri" w:hAnsi="Calibri" w:cs="Calibri"/>
          <w:spacing w:val="-1"/>
        </w:rPr>
        <w:t xml:space="preserve">Standard </w:t>
      </w:r>
      <w:r w:rsidR="00C46C18">
        <w:rPr>
          <w:rFonts w:ascii="Calibri" w:eastAsia="Calibri" w:hAnsi="Calibri" w:cs="Calibri"/>
          <w:spacing w:val="-1"/>
        </w:rPr>
        <w:t>Practice Guideline</w:t>
      </w:r>
      <w:r w:rsidRPr="001C50F2">
        <w:rPr>
          <w:rFonts w:ascii="Calibri" w:eastAsia="Calibri" w:hAnsi="Calibri" w:cs="Calibri"/>
          <w:spacing w:val="-1"/>
        </w:rPr>
        <w:t xml:space="preserve"> </w:t>
      </w:r>
      <w:r w:rsidR="00A0123B" w:rsidRPr="001C50F2">
        <w:rPr>
          <w:rFonts w:ascii="Calibri" w:eastAsia="Calibri" w:hAnsi="Calibri" w:cs="Calibri"/>
          <w:spacing w:val="-1"/>
        </w:rPr>
        <w:t>(</w:t>
      </w:r>
      <w:r w:rsidRPr="001C50F2">
        <w:rPr>
          <w:rFonts w:ascii="Calibri" w:eastAsia="Calibri" w:hAnsi="Calibri" w:cs="Calibri"/>
          <w:spacing w:val="-1"/>
        </w:rPr>
        <w:t>SP</w:t>
      </w:r>
      <w:r w:rsidR="00C46C18">
        <w:rPr>
          <w:rFonts w:ascii="Calibri" w:eastAsia="Calibri" w:hAnsi="Calibri" w:cs="Calibri"/>
          <w:spacing w:val="-1"/>
        </w:rPr>
        <w:t>G</w:t>
      </w:r>
      <w:r w:rsidR="00A0123B" w:rsidRPr="001C50F2">
        <w:rPr>
          <w:rFonts w:ascii="Calibri" w:eastAsia="Calibri" w:hAnsi="Calibri" w:cs="Calibri"/>
          <w:spacing w:val="-1"/>
        </w:rPr>
        <w:t>)</w:t>
      </w:r>
      <w:r w:rsidRPr="001C50F2">
        <w:rPr>
          <w:rFonts w:ascii="Calibri" w:eastAsia="Calibri" w:hAnsi="Calibri" w:cs="Calibri"/>
          <w:spacing w:val="-1"/>
        </w:rPr>
        <w:t xml:space="preserve"> </w:t>
      </w:r>
      <w:r w:rsidR="00A0123B" w:rsidRPr="001C50F2">
        <w:rPr>
          <w:rFonts w:ascii="Calibri" w:eastAsia="Calibri" w:hAnsi="Calibri" w:cs="Calibri"/>
          <w:spacing w:val="-1"/>
        </w:rPr>
        <w:t>describe</w:t>
      </w:r>
      <w:r w:rsidR="007C06A2" w:rsidRPr="001C50F2">
        <w:rPr>
          <w:rFonts w:ascii="Calibri" w:eastAsia="Calibri" w:hAnsi="Calibri" w:cs="Calibri"/>
          <w:spacing w:val="-1"/>
        </w:rPr>
        <w:t>s</w:t>
      </w:r>
      <w:r w:rsidR="00A0123B" w:rsidRPr="001C50F2">
        <w:rPr>
          <w:rFonts w:ascii="Calibri" w:eastAsia="Calibri" w:hAnsi="Calibri" w:cs="Calibri"/>
          <w:spacing w:val="-1"/>
        </w:rPr>
        <w:t xml:space="preserve"> the procedures</w:t>
      </w:r>
      <w:r w:rsidR="007C06A2" w:rsidRPr="001C50F2">
        <w:rPr>
          <w:rFonts w:ascii="Calibri" w:eastAsia="Calibri" w:hAnsi="Calibri" w:cs="Calibri"/>
          <w:spacing w:val="-1"/>
        </w:rPr>
        <w:t>, processes, and responsibilities</w:t>
      </w:r>
      <w:r w:rsidR="00A0123B" w:rsidRPr="001C50F2">
        <w:rPr>
          <w:rFonts w:ascii="Calibri" w:eastAsia="Calibri" w:hAnsi="Calibri" w:cs="Calibri"/>
          <w:spacing w:val="-1"/>
        </w:rPr>
        <w:t xml:space="preserve"> </w:t>
      </w:r>
      <w:r w:rsidR="007C06A2" w:rsidRPr="001C50F2">
        <w:rPr>
          <w:rFonts w:ascii="Calibri" w:eastAsia="Calibri" w:hAnsi="Calibri" w:cs="Calibri"/>
          <w:spacing w:val="-1"/>
        </w:rPr>
        <w:t>for identifying</w:t>
      </w:r>
      <w:r w:rsidR="002D2309">
        <w:rPr>
          <w:rFonts w:ascii="Calibri" w:eastAsia="Calibri" w:hAnsi="Calibri" w:cs="Calibri"/>
          <w:spacing w:val="-1"/>
        </w:rPr>
        <w:t xml:space="preserve">, </w:t>
      </w:r>
      <w:r w:rsidR="00411398">
        <w:rPr>
          <w:rFonts w:ascii="Calibri" w:eastAsia="Calibri" w:hAnsi="Calibri" w:cs="Calibri"/>
          <w:spacing w:val="-1"/>
        </w:rPr>
        <w:t xml:space="preserve">assessing, </w:t>
      </w:r>
      <w:r w:rsidR="008859BB">
        <w:rPr>
          <w:rFonts w:ascii="Calibri" w:eastAsia="Calibri" w:hAnsi="Calibri" w:cs="Calibri"/>
          <w:spacing w:val="-1"/>
        </w:rPr>
        <w:t>recording,</w:t>
      </w:r>
      <w:r w:rsidR="007C06A2" w:rsidRPr="001C50F2">
        <w:rPr>
          <w:rFonts w:ascii="Calibri" w:eastAsia="Calibri" w:hAnsi="Calibri" w:cs="Calibri"/>
          <w:spacing w:val="-1"/>
        </w:rPr>
        <w:t xml:space="preserve"> and reporting Adverse Event</w:t>
      </w:r>
      <w:r w:rsidR="00D2788F" w:rsidRPr="001C50F2">
        <w:rPr>
          <w:rFonts w:ascii="Calibri" w:eastAsia="Calibri" w:hAnsi="Calibri" w:cs="Calibri"/>
          <w:spacing w:val="-1"/>
        </w:rPr>
        <w:t>s</w:t>
      </w:r>
      <w:r w:rsidR="007C06A2" w:rsidRPr="0031489A">
        <w:rPr>
          <w:rFonts w:ascii="Calibri" w:eastAsia="Calibri" w:hAnsi="Calibri" w:cs="Calibri"/>
          <w:spacing w:val="-1"/>
        </w:rPr>
        <w:t xml:space="preserve"> (AE</w:t>
      </w:r>
      <w:r w:rsidR="00D2788F" w:rsidRPr="00DE2804">
        <w:rPr>
          <w:rFonts w:ascii="Calibri" w:eastAsia="Calibri" w:hAnsi="Calibri" w:cs="Calibri"/>
          <w:spacing w:val="-1"/>
        </w:rPr>
        <w:t>s</w:t>
      </w:r>
      <w:r w:rsidR="007C06A2" w:rsidRPr="00DE2804">
        <w:rPr>
          <w:rFonts w:ascii="Calibri" w:eastAsia="Calibri" w:hAnsi="Calibri" w:cs="Calibri"/>
          <w:spacing w:val="-1"/>
        </w:rPr>
        <w:t>)</w:t>
      </w:r>
      <w:r w:rsidR="001235A4">
        <w:rPr>
          <w:rFonts w:ascii="Calibri" w:eastAsia="Calibri" w:hAnsi="Calibri" w:cs="Calibri"/>
          <w:spacing w:val="-1"/>
        </w:rPr>
        <w:t>,</w:t>
      </w:r>
      <w:r w:rsidR="00ED4FE1">
        <w:rPr>
          <w:rFonts w:ascii="Calibri" w:eastAsia="Calibri" w:hAnsi="Calibri" w:cs="Calibri"/>
          <w:spacing w:val="-1"/>
        </w:rPr>
        <w:t xml:space="preserve"> </w:t>
      </w:r>
      <w:r w:rsidR="007C06A2" w:rsidRPr="00DE2804">
        <w:rPr>
          <w:rFonts w:ascii="Calibri" w:eastAsia="Calibri" w:hAnsi="Calibri" w:cs="Calibri"/>
          <w:spacing w:val="-1"/>
        </w:rPr>
        <w:t>Serious Adverse Event</w:t>
      </w:r>
      <w:r w:rsidR="00D2788F" w:rsidRPr="00057C61">
        <w:rPr>
          <w:rFonts w:ascii="Calibri" w:eastAsia="Calibri" w:hAnsi="Calibri" w:cs="Calibri"/>
          <w:spacing w:val="-1"/>
        </w:rPr>
        <w:t>s</w:t>
      </w:r>
      <w:r w:rsidR="007C06A2" w:rsidRPr="00057C61">
        <w:rPr>
          <w:rFonts w:ascii="Calibri" w:eastAsia="Calibri" w:hAnsi="Calibri" w:cs="Calibri"/>
          <w:spacing w:val="-1"/>
        </w:rPr>
        <w:t xml:space="preserve"> (SAE</w:t>
      </w:r>
      <w:r w:rsidR="00D2788F" w:rsidRPr="00057C61">
        <w:rPr>
          <w:rFonts w:ascii="Calibri" w:eastAsia="Calibri" w:hAnsi="Calibri" w:cs="Calibri"/>
          <w:spacing w:val="-1"/>
        </w:rPr>
        <w:t>s</w:t>
      </w:r>
      <w:r w:rsidR="007C06A2" w:rsidRPr="00057C61">
        <w:rPr>
          <w:rFonts w:ascii="Calibri" w:eastAsia="Calibri" w:hAnsi="Calibri" w:cs="Calibri"/>
          <w:spacing w:val="-1"/>
        </w:rPr>
        <w:t>)</w:t>
      </w:r>
      <w:r w:rsidR="001013E5">
        <w:rPr>
          <w:rFonts w:ascii="Calibri" w:eastAsia="Calibri" w:hAnsi="Calibri" w:cs="Calibri"/>
          <w:spacing w:val="-1"/>
        </w:rPr>
        <w:t>, Unanticipated Adverse Device Effects (UADEs</w:t>
      </w:r>
      <w:r w:rsidR="001956F1">
        <w:rPr>
          <w:rFonts w:ascii="Calibri" w:eastAsia="Calibri" w:hAnsi="Calibri" w:cs="Calibri"/>
          <w:spacing w:val="-1"/>
        </w:rPr>
        <w:t>)</w:t>
      </w:r>
      <w:r w:rsidR="0069197B">
        <w:rPr>
          <w:rFonts w:ascii="Calibri" w:eastAsia="Calibri" w:hAnsi="Calibri" w:cs="Calibri"/>
          <w:spacing w:val="-1"/>
        </w:rPr>
        <w:t>,</w:t>
      </w:r>
      <w:r w:rsidR="001956F1">
        <w:rPr>
          <w:rFonts w:ascii="Calibri" w:eastAsia="Calibri" w:hAnsi="Calibri" w:cs="Calibri"/>
          <w:spacing w:val="-1"/>
        </w:rPr>
        <w:t xml:space="preserve"> and</w:t>
      </w:r>
      <w:r w:rsidR="001235A4">
        <w:rPr>
          <w:rFonts w:ascii="Calibri" w:eastAsia="Calibri" w:hAnsi="Calibri" w:cs="Calibri"/>
          <w:spacing w:val="-1"/>
        </w:rPr>
        <w:t xml:space="preserve"> Unanticipated Problems (U</w:t>
      </w:r>
      <w:r w:rsidR="00A22B6E">
        <w:rPr>
          <w:rFonts w:ascii="Calibri" w:eastAsia="Calibri" w:hAnsi="Calibri" w:cs="Calibri"/>
          <w:spacing w:val="-1"/>
        </w:rPr>
        <w:t>a</w:t>
      </w:r>
      <w:r w:rsidR="001235A4">
        <w:rPr>
          <w:rFonts w:ascii="Calibri" w:eastAsia="Calibri" w:hAnsi="Calibri" w:cs="Calibri"/>
          <w:spacing w:val="-1"/>
        </w:rPr>
        <w:t>Ps)</w:t>
      </w:r>
      <w:r w:rsidR="007C06A2" w:rsidRPr="00057C61">
        <w:rPr>
          <w:rFonts w:ascii="Calibri" w:eastAsia="Calibri" w:hAnsi="Calibri" w:cs="Calibri"/>
          <w:spacing w:val="-1"/>
        </w:rPr>
        <w:t xml:space="preserve">. </w:t>
      </w:r>
    </w:p>
    <w:p w14:paraId="6229F774" w14:textId="77777777" w:rsidR="00ED4FE1" w:rsidRPr="001C50F2" w:rsidRDefault="00ED4FE1" w:rsidP="00ED4FE1">
      <w:pPr>
        <w:spacing w:after="0" w:line="240" w:lineRule="auto"/>
        <w:ind w:left="367" w:right="936"/>
        <w:rPr>
          <w:rFonts w:ascii="Calibri" w:eastAsia="Calibri" w:hAnsi="Calibri" w:cs="Calibri"/>
        </w:rPr>
      </w:pPr>
      <w:r w:rsidRPr="001C50F2">
        <w:rPr>
          <w:rFonts w:cs="Arial"/>
        </w:rPr>
        <w:t>(</w:t>
      </w:r>
      <w:r w:rsidRPr="001C50F2">
        <w:rPr>
          <w:rFonts w:cs="Arial"/>
          <w:b/>
        </w:rPr>
        <w:t>MANDATORY LANGUAGE</w:t>
      </w:r>
      <w:r w:rsidRPr="001C50F2">
        <w:rPr>
          <w:rFonts w:cs="Arial"/>
        </w:rPr>
        <w:t>)</w:t>
      </w:r>
    </w:p>
    <w:p w14:paraId="6D1B7EED" w14:textId="77777777" w:rsidR="00D10980" w:rsidRPr="008D5E59" w:rsidRDefault="00D10980" w:rsidP="006014E7">
      <w:pPr>
        <w:spacing w:after="0" w:line="240" w:lineRule="auto"/>
        <w:ind w:left="360" w:right="1020"/>
        <w:rPr>
          <w:rFonts w:ascii="Calibri" w:eastAsia="Calibri" w:hAnsi="Calibri" w:cs="Calibri"/>
        </w:rPr>
      </w:pPr>
    </w:p>
    <w:p w14:paraId="69F6818E" w14:textId="503F16B4" w:rsidR="00F14432" w:rsidRDefault="00F14432" w:rsidP="00F14432">
      <w:pPr>
        <w:pStyle w:val="ListParagraph"/>
        <w:numPr>
          <w:ilvl w:val="0"/>
          <w:numId w:val="10"/>
        </w:numPr>
        <w:spacing w:after="0" w:line="240" w:lineRule="auto"/>
        <w:rPr>
          <w:b/>
        </w:rPr>
      </w:pPr>
      <w:r>
        <w:rPr>
          <w:b/>
        </w:rPr>
        <w:t>SCOPE</w:t>
      </w:r>
    </w:p>
    <w:p w14:paraId="7A03021A" w14:textId="77777777" w:rsidR="00F14432" w:rsidRPr="002D0719" w:rsidRDefault="00F14432" w:rsidP="00F14432">
      <w:pPr>
        <w:pStyle w:val="ListParagraph"/>
        <w:spacing w:after="0" w:line="240" w:lineRule="auto"/>
        <w:ind w:left="360"/>
        <w:rPr>
          <w:b/>
        </w:rPr>
      </w:pPr>
    </w:p>
    <w:p w14:paraId="35F4052A" w14:textId="60A8A42F" w:rsidR="00A0123B" w:rsidRDefault="00A0123B" w:rsidP="00ED151D">
      <w:pPr>
        <w:spacing w:after="0" w:line="240" w:lineRule="auto"/>
        <w:ind w:left="367" w:right="936"/>
        <w:rPr>
          <w:rFonts w:cs="Arial"/>
        </w:rPr>
      </w:pPr>
      <w:r w:rsidRPr="001C50F2">
        <w:rPr>
          <w:rFonts w:cs="Arial"/>
        </w:rPr>
        <w:t xml:space="preserve">This </w:t>
      </w:r>
      <w:r w:rsidR="0001054B">
        <w:rPr>
          <w:rFonts w:cs="Arial"/>
        </w:rPr>
        <w:t xml:space="preserve">Standard </w:t>
      </w:r>
      <w:r w:rsidR="00C46C18">
        <w:rPr>
          <w:rFonts w:cs="Arial"/>
        </w:rPr>
        <w:t>Practice Guideline</w:t>
      </w:r>
      <w:r w:rsidR="0035509D">
        <w:rPr>
          <w:rFonts w:cs="Arial"/>
        </w:rPr>
        <w:t xml:space="preserve"> </w:t>
      </w:r>
      <w:r w:rsidR="007C06A2" w:rsidRPr="001C50F2">
        <w:rPr>
          <w:rFonts w:cs="Arial"/>
        </w:rPr>
        <w:t>applies to all</w:t>
      </w:r>
      <w:r w:rsidR="00A75C54">
        <w:rPr>
          <w:rFonts w:cs="Arial"/>
        </w:rPr>
        <w:t xml:space="preserve"> clinical trial</w:t>
      </w:r>
      <w:r w:rsidRPr="001C50F2">
        <w:rPr>
          <w:rFonts w:cs="Arial"/>
        </w:rPr>
        <w:t xml:space="preserve"> staff</w:t>
      </w:r>
      <w:r w:rsidR="002700AD" w:rsidRPr="001C50F2">
        <w:rPr>
          <w:rFonts w:cs="Arial"/>
        </w:rPr>
        <w:t xml:space="preserve">, including the Principal Investigator (PI), </w:t>
      </w:r>
      <w:r w:rsidR="00855B8E">
        <w:rPr>
          <w:rFonts w:cs="Arial"/>
        </w:rPr>
        <w:t>Sponsor</w:t>
      </w:r>
      <w:r w:rsidR="00866F66">
        <w:rPr>
          <w:rFonts w:cs="Arial"/>
        </w:rPr>
        <w:t>-</w:t>
      </w:r>
      <w:r w:rsidR="00855B8E">
        <w:rPr>
          <w:rFonts w:cs="Arial"/>
        </w:rPr>
        <w:t xml:space="preserve">Investigator (SI), </w:t>
      </w:r>
      <w:r w:rsidR="009B2E16">
        <w:rPr>
          <w:rFonts w:cs="Arial"/>
        </w:rPr>
        <w:t>Co-</w:t>
      </w:r>
      <w:r w:rsidR="00C53B1F">
        <w:rPr>
          <w:rFonts w:cs="Arial"/>
        </w:rPr>
        <w:t>I</w:t>
      </w:r>
      <w:r w:rsidR="002700AD" w:rsidRPr="001C50F2">
        <w:rPr>
          <w:rFonts w:cs="Arial"/>
        </w:rPr>
        <w:t>nvestigator</w:t>
      </w:r>
      <w:r w:rsidR="009427CA">
        <w:rPr>
          <w:rFonts w:cs="Arial"/>
        </w:rPr>
        <w:t>(</w:t>
      </w:r>
      <w:r w:rsidR="002700AD" w:rsidRPr="001C50F2">
        <w:rPr>
          <w:rFonts w:cs="Arial"/>
        </w:rPr>
        <w:t>s</w:t>
      </w:r>
      <w:r w:rsidR="009427CA">
        <w:rPr>
          <w:rFonts w:cs="Arial"/>
        </w:rPr>
        <w:t>)</w:t>
      </w:r>
      <w:r w:rsidR="00C53B1F">
        <w:rPr>
          <w:rFonts w:cs="Arial"/>
        </w:rPr>
        <w:t xml:space="preserve"> (Co-I</w:t>
      </w:r>
      <w:r w:rsidR="004F1756">
        <w:rPr>
          <w:rFonts w:cs="Arial"/>
        </w:rPr>
        <w:t>)</w:t>
      </w:r>
      <w:r w:rsidR="002700AD" w:rsidRPr="001C50F2">
        <w:rPr>
          <w:rFonts w:cs="Arial"/>
        </w:rPr>
        <w:t>, Study Coordinator</w:t>
      </w:r>
      <w:r w:rsidR="009427CA">
        <w:rPr>
          <w:rFonts w:cs="Arial"/>
        </w:rPr>
        <w:t>(</w:t>
      </w:r>
      <w:r w:rsidR="002700AD" w:rsidRPr="001C50F2">
        <w:rPr>
          <w:rFonts w:cs="Arial"/>
        </w:rPr>
        <w:t>s</w:t>
      </w:r>
      <w:r w:rsidR="009427CA">
        <w:rPr>
          <w:rFonts w:cs="Arial"/>
        </w:rPr>
        <w:t>)</w:t>
      </w:r>
      <w:r w:rsidR="00B9362C">
        <w:rPr>
          <w:rFonts w:cs="Arial"/>
        </w:rPr>
        <w:t xml:space="preserve">, </w:t>
      </w:r>
      <w:r w:rsidR="009B2E16">
        <w:rPr>
          <w:rFonts w:cs="Arial"/>
        </w:rPr>
        <w:t xml:space="preserve">and other research professionals </w:t>
      </w:r>
      <w:r w:rsidR="00B9362C">
        <w:rPr>
          <w:rFonts w:cs="Arial"/>
        </w:rPr>
        <w:t>that may be</w:t>
      </w:r>
      <w:r w:rsidR="002700AD" w:rsidRPr="001C50F2">
        <w:rPr>
          <w:rFonts w:cs="Arial"/>
        </w:rPr>
        <w:t xml:space="preserve"> </w:t>
      </w:r>
      <w:r w:rsidR="007C06A2" w:rsidRPr="001C50F2">
        <w:rPr>
          <w:rFonts w:cs="Arial"/>
        </w:rPr>
        <w:t>involved in the identification</w:t>
      </w:r>
      <w:r w:rsidR="000D712A">
        <w:rPr>
          <w:rFonts w:cs="Arial"/>
        </w:rPr>
        <w:t>, management</w:t>
      </w:r>
      <w:r w:rsidR="007C06A2" w:rsidRPr="001C50F2">
        <w:rPr>
          <w:rFonts w:cs="Arial"/>
        </w:rPr>
        <w:t xml:space="preserve"> and reporting of</w:t>
      </w:r>
      <w:r w:rsidRPr="001C50F2">
        <w:rPr>
          <w:rFonts w:cs="Arial"/>
        </w:rPr>
        <w:t xml:space="preserve"> </w:t>
      </w:r>
      <w:r w:rsidR="007C06A2" w:rsidRPr="001C50F2">
        <w:rPr>
          <w:rFonts w:cs="Arial"/>
        </w:rPr>
        <w:t>AEs</w:t>
      </w:r>
      <w:r w:rsidR="00411398">
        <w:rPr>
          <w:rFonts w:cs="Arial"/>
        </w:rPr>
        <w:t>, SAEs</w:t>
      </w:r>
      <w:r w:rsidR="001013E5">
        <w:rPr>
          <w:rFonts w:cs="Arial"/>
        </w:rPr>
        <w:t xml:space="preserve">, UADEs </w:t>
      </w:r>
      <w:r w:rsidR="00411398">
        <w:rPr>
          <w:rFonts w:cs="Arial"/>
        </w:rPr>
        <w:t>and UaPs</w:t>
      </w:r>
      <w:r w:rsidRPr="001C50F2">
        <w:rPr>
          <w:rFonts w:cs="Arial"/>
        </w:rPr>
        <w:t xml:space="preserve">. </w:t>
      </w:r>
      <w:r w:rsidR="00934E30" w:rsidRPr="001C50F2">
        <w:rPr>
          <w:rFonts w:cs="Arial"/>
        </w:rPr>
        <w:t>(</w:t>
      </w:r>
      <w:r w:rsidR="00934E30" w:rsidRPr="001C50F2">
        <w:rPr>
          <w:rFonts w:cs="Arial"/>
          <w:b/>
        </w:rPr>
        <w:t>MANDATORY LANGUAGE</w:t>
      </w:r>
      <w:r w:rsidR="00934E30" w:rsidRPr="001C50F2">
        <w:rPr>
          <w:rFonts w:cs="Arial"/>
        </w:rPr>
        <w:t>)</w:t>
      </w:r>
    </w:p>
    <w:p w14:paraId="1E8F4191" w14:textId="77777777" w:rsidR="00ED4FE1" w:rsidRPr="001C50F2" w:rsidRDefault="00ED4FE1" w:rsidP="00ED151D">
      <w:pPr>
        <w:spacing w:after="0" w:line="240" w:lineRule="auto"/>
        <w:ind w:left="367" w:right="936"/>
        <w:rPr>
          <w:rFonts w:ascii="Calibri" w:eastAsia="Calibri" w:hAnsi="Calibri" w:cs="Calibri"/>
        </w:rPr>
      </w:pPr>
    </w:p>
    <w:p w14:paraId="3137C87A" w14:textId="7AEF8FE8" w:rsidR="00ED4FE1" w:rsidRDefault="00ED4FE1" w:rsidP="00ED4FE1">
      <w:pPr>
        <w:widowControl w:val="0"/>
        <w:autoSpaceDE w:val="0"/>
        <w:autoSpaceDN w:val="0"/>
        <w:adjustRightInd w:val="0"/>
        <w:spacing w:after="0" w:line="240" w:lineRule="auto"/>
        <w:ind w:left="360" w:right="720"/>
        <w:rPr>
          <w:rFonts w:cs="Calibri"/>
          <w:i/>
          <w:color w:val="00B0F0"/>
        </w:rPr>
      </w:pPr>
      <w:r>
        <w:rPr>
          <w:rFonts w:cs="Calibri"/>
          <w:i/>
          <w:color w:val="00B0F0"/>
        </w:rPr>
        <w:t>[Optional: Insert any additional details necessary to furth</w:t>
      </w:r>
      <w:r w:rsidR="00331682">
        <w:rPr>
          <w:rFonts w:cs="Calibri"/>
          <w:i/>
          <w:color w:val="00B0F0"/>
        </w:rPr>
        <w:t xml:space="preserve">er define the scope of this </w:t>
      </w:r>
      <w:r w:rsidR="006E4003">
        <w:rPr>
          <w:rFonts w:cs="Calibri"/>
          <w:i/>
          <w:color w:val="00B0F0"/>
        </w:rPr>
        <w:t>SPG</w:t>
      </w:r>
      <w:r w:rsidRPr="00CD079E">
        <w:rPr>
          <w:rFonts w:cs="Calibri"/>
          <w:i/>
          <w:color w:val="00B0F0"/>
        </w:rPr>
        <w:t>]</w:t>
      </w:r>
    </w:p>
    <w:p w14:paraId="6074A4F7" w14:textId="77777777" w:rsidR="00F14432" w:rsidRPr="00CD079E" w:rsidRDefault="00F14432" w:rsidP="00ED4FE1">
      <w:pPr>
        <w:widowControl w:val="0"/>
        <w:autoSpaceDE w:val="0"/>
        <w:autoSpaceDN w:val="0"/>
        <w:adjustRightInd w:val="0"/>
        <w:spacing w:after="0" w:line="240" w:lineRule="auto"/>
        <w:ind w:left="360" w:right="720"/>
        <w:rPr>
          <w:rFonts w:cs="Calibri"/>
          <w:i/>
          <w:color w:val="00B0F0"/>
        </w:rPr>
      </w:pPr>
    </w:p>
    <w:p w14:paraId="4C57B062" w14:textId="487CAEB2" w:rsidR="00F14432" w:rsidRPr="002D0719" w:rsidRDefault="00F14432" w:rsidP="00F14432">
      <w:pPr>
        <w:pStyle w:val="ListParagraph"/>
        <w:numPr>
          <w:ilvl w:val="0"/>
          <w:numId w:val="10"/>
        </w:numPr>
        <w:spacing w:after="0" w:line="240" w:lineRule="auto"/>
        <w:rPr>
          <w:b/>
        </w:rPr>
      </w:pPr>
      <w:r>
        <w:rPr>
          <w:b/>
        </w:rPr>
        <w:t>POLICY</w:t>
      </w:r>
    </w:p>
    <w:p w14:paraId="0B98A51D" w14:textId="77777777" w:rsidR="00F14432" w:rsidRPr="001C50F2" w:rsidRDefault="00F14432" w:rsidP="00F14432">
      <w:pPr>
        <w:pStyle w:val="ListParagraph"/>
        <w:spacing w:after="0" w:line="240" w:lineRule="auto"/>
        <w:ind w:left="360" w:right="-20"/>
      </w:pPr>
    </w:p>
    <w:p w14:paraId="7EB572C5" w14:textId="77777777" w:rsidR="006A15FF" w:rsidRPr="00997CCD" w:rsidRDefault="006A15FF" w:rsidP="006A15FF">
      <w:pPr>
        <w:spacing w:after="0"/>
        <w:ind w:left="367" w:right="936"/>
        <w:rPr>
          <w:rFonts w:cstheme="minorHAnsi"/>
          <w:b/>
        </w:rPr>
      </w:pPr>
      <w:r w:rsidRPr="00997CCD">
        <w:rPr>
          <w:rFonts w:cstheme="minorHAnsi"/>
          <w:b/>
        </w:rPr>
        <w:t>Good Clinical Practices (</w:t>
      </w:r>
      <w:r>
        <w:rPr>
          <w:rFonts w:cstheme="minorHAnsi"/>
          <w:b/>
        </w:rPr>
        <w:t xml:space="preserve">ICH </w:t>
      </w:r>
      <w:r w:rsidRPr="00997CCD">
        <w:rPr>
          <w:rFonts w:cstheme="minorHAnsi"/>
          <w:b/>
        </w:rPr>
        <w:t>GCP)</w:t>
      </w:r>
    </w:p>
    <w:p w14:paraId="1200F684" w14:textId="77777777" w:rsidR="006A15FF" w:rsidRDefault="006A15FF" w:rsidP="006A15FF">
      <w:pPr>
        <w:spacing w:after="0"/>
        <w:ind w:left="367" w:right="936"/>
        <w:rPr>
          <w:rFonts w:cstheme="minorHAnsi"/>
        </w:rPr>
      </w:pPr>
    </w:p>
    <w:p w14:paraId="6BA77A0F" w14:textId="77777777" w:rsidR="007839EE" w:rsidRDefault="007839EE" w:rsidP="007839EE">
      <w:pPr>
        <w:spacing w:after="0" w:line="240" w:lineRule="auto"/>
        <w:ind w:left="360" w:right="-20"/>
        <w:rPr>
          <w:b/>
        </w:rPr>
      </w:pPr>
      <w:r w:rsidRPr="007839EE">
        <w:rPr>
          <w:b/>
        </w:rPr>
        <w:t>Principal Investigator (PI</w:t>
      </w:r>
      <w:r w:rsidRPr="00227E1F">
        <w:rPr>
          <w:b/>
        </w:rPr>
        <w:t>)</w:t>
      </w:r>
    </w:p>
    <w:p w14:paraId="2835102D" w14:textId="77777777" w:rsidR="007839EE" w:rsidRDefault="007839EE" w:rsidP="00963603">
      <w:pPr>
        <w:spacing w:after="0" w:line="240" w:lineRule="auto"/>
        <w:ind w:left="360" w:right="-20"/>
        <w:rPr>
          <w:rFonts w:cs="Calibri"/>
        </w:rPr>
      </w:pPr>
    </w:p>
    <w:p w14:paraId="26DC968F" w14:textId="5CCE5AAD" w:rsidR="001C50F2" w:rsidRDefault="00934E30" w:rsidP="001548DD">
      <w:pPr>
        <w:spacing w:after="0" w:line="240" w:lineRule="auto"/>
        <w:ind w:left="360" w:right="-20"/>
        <w:rPr>
          <w:rFonts w:cs="Calibri"/>
        </w:rPr>
      </w:pPr>
      <w:r w:rsidRPr="001C50F2">
        <w:rPr>
          <w:rFonts w:cs="Calibri"/>
        </w:rPr>
        <w:t xml:space="preserve">This Standard </w:t>
      </w:r>
      <w:r w:rsidR="00C46C18">
        <w:rPr>
          <w:rFonts w:cs="Calibri"/>
        </w:rPr>
        <w:t>Practice Guideline (SPG)</w:t>
      </w:r>
      <w:r w:rsidR="0035509D">
        <w:rPr>
          <w:rFonts w:cs="Calibri"/>
        </w:rPr>
        <w:t xml:space="preserve"> </w:t>
      </w:r>
      <w:r w:rsidRPr="001C50F2">
        <w:rPr>
          <w:rFonts w:cs="Calibri"/>
        </w:rPr>
        <w:t>supp</w:t>
      </w:r>
      <w:r w:rsidR="006A15FF">
        <w:rPr>
          <w:rFonts w:cs="Calibri"/>
        </w:rPr>
        <w:t>orts the Good Clinical Practice</w:t>
      </w:r>
      <w:r w:rsidR="00890188">
        <w:rPr>
          <w:rFonts w:cs="Calibri"/>
        </w:rPr>
        <w:t xml:space="preserve"> </w:t>
      </w:r>
      <w:r w:rsidR="008F2CFA">
        <w:rPr>
          <w:rFonts w:cs="Calibri"/>
        </w:rPr>
        <w:t>(</w:t>
      </w:r>
      <w:r w:rsidR="006A15FF">
        <w:rPr>
          <w:rFonts w:cs="Calibri"/>
        </w:rPr>
        <w:t xml:space="preserve">ICH </w:t>
      </w:r>
      <w:r w:rsidR="008F2CFA">
        <w:rPr>
          <w:rFonts w:cs="Calibri"/>
        </w:rPr>
        <w:t>GCP)</w:t>
      </w:r>
      <w:r w:rsidRPr="001C50F2">
        <w:rPr>
          <w:rFonts w:cs="Calibri"/>
        </w:rPr>
        <w:t xml:space="preserve"> guidelines</w:t>
      </w:r>
      <w:r w:rsidR="009427CA">
        <w:rPr>
          <w:rFonts w:cs="Calibri"/>
        </w:rPr>
        <w:t xml:space="preserve"> </w:t>
      </w:r>
      <w:r w:rsidRPr="001C50F2">
        <w:rPr>
          <w:rFonts w:cs="Calibri"/>
        </w:rPr>
        <w:t>established by the International Co</w:t>
      </w:r>
      <w:r w:rsidR="00B35C93">
        <w:rPr>
          <w:rFonts w:cs="Calibri"/>
        </w:rPr>
        <w:t>uncil</w:t>
      </w:r>
      <w:r w:rsidRPr="001C50F2">
        <w:rPr>
          <w:rFonts w:cs="Calibri"/>
        </w:rPr>
        <w:t xml:space="preserve"> on Harmonization (ICH),</w:t>
      </w:r>
      <w:r w:rsidR="001C50F2">
        <w:rPr>
          <w:rFonts w:cs="Calibri"/>
        </w:rPr>
        <w:t xml:space="preserve"> Section 4.11.2</w:t>
      </w:r>
      <w:r w:rsidR="00691196">
        <w:rPr>
          <w:rFonts w:cs="Calibri"/>
        </w:rPr>
        <w:t>:</w:t>
      </w:r>
    </w:p>
    <w:p w14:paraId="13EF10B0" w14:textId="555FF7B8" w:rsidR="001C50F2" w:rsidRDefault="001C50F2" w:rsidP="00963603">
      <w:pPr>
        <w:spacing w:after="0" w:line="240" w:lineRule="auto"/>
        <w:ind w:left="360" w:right="-20"/>
        <w:rPr>
          <w:rFonts w:cs="Calibri"/>
          <w:i/>
        </w:rPr>
      </w:pPr>
      <w:r>
        <w:rPr>
          <w:rFonts w:cs="Calibri"/>
          <w:i/>
        </w:rPr>
        <w:t xml:space="preserve">Adverse events and/or laboratory abnormalities identified in the protocol as critical to safety evaluations should be reported to the sponsor according to the reporting requirements and within the time periods specified by the sponsor in the protocol. </w:t>
      </w:r>
    </w:p>
    <w:p w14:paraId="5DAF2821" w14:textId="77777777" w:rsidR="001C50F2" w:rsidRPr="008D5E59" w:rsidRDefault="001C50F2" w:rsidP="00963603">
      <w:pPr>
        <w:spacing w:after="0" w:line="240" w:lineRule="auto"/>
        <w:ind w:left="360" w:right="-20"/>
        <w:rPr>
          <w:rFonts w:cs="Calibri"/>
        </w:rPr>
      </w:pPr>
    </w:p>
    <w:p w14:paraId="23A37579" w14:textId="54EF496F" w:rsidR="001C50F2" w:rsidRDefault="001C50F2" w:rsidP="00963603">
      <w:pPr>
        <w:spacing w:after="0" w:line="240" w:lineRule="auto"/>
        <w:ind w:left="360" w:right="-20"/>
        <w:rPr>
          <w:rFonts w:cs="Calibri"/>
          <w:i/>
        </w:rPr>
      </w:pPr>
      <w:r>
        <w:rPr>
          <w:rFonts w:cs="Calibri"/>
        </w:rPr>
        <w:t>In addition, ICH Section 4.11.1 provides guidance on Serious Adverse Events (SAE) and states that</w:t>
      </w:r>
      <w:r w:rsidR="00691196">
        <w:rPr>
          <w:rFonts w:cs="Calibri"/>
        </w:rPr>
        <w:t xml:space="preserve">: </w:t>
      </w:r>
      <w:r w:rsidRPr="006014E7">
        <w:rPr>
          <w:rFonts w:cs="Calibri"/>
          <w:i/>
        </w:rPr>
        <w:t xml:space="preserve">all SAEs should be reported immediately to the sponsor, except for those SAEs that the protocol or other document identifies as not needing immediate reporting. </w:t>
      </w:r>
    </w:p>
    <w:p w14:paraId="109B1D74" w14:textId="77777777" w:rsidR="007839EE" w:rsidRDefault="007839EE" w:rsidP="007839EE">
      <w:pPr>
        <w:spacing w:after="0" w:line="240" w:lineRule="auto"/>
        <w:ind w:left="360" w:right="-20"/>
        <w:rPr>
          <w:rFonts w:cs="Calibri"/>
          <w:i/>
        </w:rPr>
      </w:pPr>
    </w:p>
    <w:p w14:paraId="0D515D24" w14:textId="40AF7ADD" w:rsidR="007839EE" w:rsidRDefault="007839EE" w:rsidP="007839EE">
      <w:pPr>
        <w:spacing w:after="0" w:line="240" w:lineRule="auto"/>
        <w:ind w:left="360" w:right="-20"/>
        <w:rPr>
          <w:rFonts w:eastAsia="Times New Roman" w:cs="Times New Roman"/>
          <w:b/>
        </w:rPr>
      </w:pPr>
      <w:r w:rsidRPr="00F14445">
        <w:rPr>
          <w:rFonts w:eastAsia="Times New Roman" w:cs="Times New Roman"/>
          <w:b/>
        </w:rPr>
        <w:t>Sponsor</w:t>
      </w:r>
      <w:r w:rsidR="00866F66">
        <w:rPr>
          <w:rFonts w:eastAsia="Times New Roman" w:cs="Times New Roman"/>
          <w:b/>
        </w:rPr>
        <w:t>-</w:t>
      </w:r>
      <w:r w:rsidRPr="00F14445">
        <w:rPr>
          <w:rFonts w:eastAsia="Times New Roman" w:cs="Times New Roman"/>
          <w:b/>
        </w:rPr>
        <w:t xml:space="preserve">Investigator (SI): </w:t>
      </w:r>
    </w:p>
    <w:p w14:paraId="302E423D" w14:textId="56C15F02" w:rsidR="007839EE" w:rsidRDefault="007839EE" w:rsidP="00963603">
      <w:pPr>
        <w:spacing w:after="0" w:line="240" w:lineRule="auto"/>
        <w:ind w:left="360" w:right="-20"/>
        <w:rPr>
          <w:rFonts w:cs="Calibri"/>
          <w:i/>
        </w:rPr>
      </w:pPr>
    </w:p>
    <w:p w14:paraId="407EE86F" w14:textId="49B8590E" w:rsidR="008F5A99" w:rsidRDefault="007839EE" w:rsidP="008F5A99">
      <w:pPr>
        <w:pStyle w:val="CommentText"/>
        <w:spacing w:after="0"/>
        <w:ind w:left="360"/>
        <w:rPr>
          <w:sz w:val="22"/>
          <w:szCs w:val="22"/>
        </w:rPr>
      </w:pPr>
      <w:r w:rsidRPr="00B23F13">
        <w:rPr>
          <w:sz w:val="22"/>
        </w:rPr>
        <w:t>Per</w:t>
      </w:r>
      <w:r w:rsidR="00BC2C69">
        <w:rPr>
          <w:sz w:val="22"/>
        </w:rPr>
        <w:t xml:space="preserve"> ICH</w:t>
      </w:r>
      <w:r w:rsidRPr="00B23F13">
        <w:rPr>
          <w:sz w:val="22"/>
        </w:rPr>
        <w:t xml:space="preserve"> section 5.16</w:t>
      </w:r>
      <w:r w:rsidR="002F27A5">
        <w:t>,</w:t>
      </w:r>
      <w:r w:rsidR="00011358">
        <w:t xml:space="preserve"> </w:t>
      </w:r>
      <w:r w:rsidR="002F27A5">
        <w:rPr>
          <w:sz w:val="22"/>
          <w:szCs w:val="22"/>
        </w:rPr>
        <w:t>t</w:t>
      </w:r>
      <w:r w:rsidRPr="00B23F13">
        <w:rPr>
          <w:sz w:val="22"/>
          <w:szCs w:val="22"/>
        </w:rPr>
        <w:t>he sponsor is responsible for the ongoing safety evaluation of the investigational product(s)</w:t>
      </w:r>
      <w:r w:rsidR="00B23F13">
        <w:rPr>
          <w:sz w:val="22"/>
          <w:szCs w:val="22"/>
        </w:rPr>
        <w:t xml:space="preserve"> (5.16.1)</w:t>
      </w:r>
      <w:r w:rsidR="008F5A99">
        <w:rPr>
          <w:sz w:val="22"/>
          <w:szCs w:val="22"/>
        </w:rPr>
        <w:t>.</w:t>
      </w:r>
    </w:p>
    <w:p w14:paraId="4318AD91" w14:textId="77777777" w:rsidR="00213BB4" w:rsidRDefault="00213BB4" w:rsidP="008F5A99">
      <w:pPr>
        <w:pStyle w:val="CommentText"/>
        <w:spacing w:after="0"/>
        <w:ind w:left="360"/>
        <w:rPr>
          <w:sz w:val="22"/>
          <w:szCs w:val="22"/>
        </w:rPr>
      </w:pPr>
    </w:p>
    <w:p w14:paraId="53AF128A" w14:textId="08C8DC2A" w:rsidR="007839EE" w:rsidRPr="00B23F13" w:rsidRDefault="00126C35" w:rsidP="008F5A99">
      <w:pPr>
        <w:pStyle w:val="CommentText"/>
        <w:ind w:left="360"/>
      </w:pPr>
      <w:r>
        <w:rPr>
          <w:sz w:val="22"/>
          <w:szCs w:val="22"/>
        </w:rPr>
        <w:t xml:space="preserve">Per section 5.16.2 </w:t>
      </w:r>
      <w:r w:rsidR="00213BB4">
        <w:rPr>
          <w:sz w:val="22"/>
          <w:szCs w:val="22"/>
        </w:rPr>
        <w:t>t</w:t>
      </w:r>
      <w:r w:rsidR="007839EE" w:rsidRPr="00B23F13">
        <w:rPr>
          <w:sz w:val="22"/>
          <w:szCs w:val="22"/>
        </w:rPr>
        <w:t>he sponsor should promptly notify all concerned investigator(s)/institution(s) and the regulatory authority(ies) of findings that could affect adversely the safety of subjects, impact the conduct of the trial, or alter the IRB/IEC's approval/favourable opinion to continue the trial</w:t>
      </w:r>
      <w:r w:rsidR="008F5A99">
        <w:rPr>
          <w:sz w:val="22"/>
          <w:szCs w:val="22"/>
        </w:rPr>
        <w:t xml:space="preserve"> (5.16.2)</w:t>
      </w:r>
      <w:r w:rsidR="007839EE" w:rsidRPr="00B23F13">
        <w:rPr>
          <w:sz w:val="22"/>
          <w:szCs w:val="22"/>
        </w:rPr>
        <w:t>.</w:t>
      </w:r>
    </w:p>
    <w:p w14:paraId="5366AC30" w14:textId="660D7E3C" w:rsidR="007839EE" w:rsidRPr="00B23F13" w:rsidRDefault="00B23F13" w:rsidP="007839EE">
      <w:pPr>
        <w:spacing w:after="0" w:line="240" w:lineRule="auto"/>
        <w:ind w:left="360" w:right="-20"/>
        <w:rPr>
          <w:rFonts w:cs="Calibri"/>
          <w:i/>
        </w:rPr>
      </w:pPr>
      <w:r>
        <w:t xml:space="preserve">Per section </w:t>
      </w:r>
      <w:r w:rsidR="00644F5B">
        <w:t>5.17.1 Adverse</w:t>
      </w:r>
      <w:r w:rsidRPr="00B23F13">
        <w:t xml:space="preserve"> Drug Reaction Reporting</w:t>
      </w:r>
      <w:r>
        <w:t xml:space="preserve"> t</w:t>
      </w:r>
      <w:r w:rsidR="007839EE" w:rsidRPr="00B23F13">
        <w:t>he sponsor should expedite the reporting to all concerned investigator(s)/institutions(s), to the IRB(s)/IEC(s), where required, and to the regulatory authority(ies) of all adverse drug reactions (ADRs) that are both serious and unexpected.</w:t>
      </w:r>
    </w:p>
    <w:p w14:paraId="5289458A" w14:textId="77777777" w:rsidR="001C50F2" w:rsidRDefault="001C50F2" w:rsidP="00963603">
      <w:pPr>
        <w:spacing w:after="0" w:line="240" w:lineRule="auto"/>
        <w:ind w:left="360" w:right="-20"/>
        <w:rPr>
          <w:rFonts w:cs="Calibri"/>
        </w:rPr>
      </w:pPr>
    </w:p>
    <w:p w14:paraId="145955C2" w14:textId="2615485B" w:rsidR="001C50F2" w:rsidRDefault="001C50F2" w:rsidP="00E54A87">
      <w:pPr>
        <w:spacing w:line="240" w:lineRule="auto"/>
        <w:ind w:left="360" w:right="-20"/>
        <w:rPr>
          <w:rFonts w:cs="Calibri"/>
        </w:rPr>
      </w:pPr>
      <w:r w:rsidRPr="00C46C18">
        <w:rPr>
          <w:rFonts w:cs="Calibri"/>
          <w:b/>
        </w:rPr>
        <w:t>FDA Regulation</w:t>
      </w:r>
      <w:r w:rsidR="00C46C18" w:rsidRPr="009F5C4A">
        <w:rPr>
          <w:rFonts w:cs="Calibri"/>
          <w:b/>
        </w:rPr>
        <w:t>(s)</w:t>
      </w:r>
      <w:r w:rsidR="00C46C18">
        <w:rPr>
          <w:rFonts w:cs="Calibri"/>
        </w:rPr>
        <w:t xml:space="preserve"> (if applicable)</w:t>
      </w:r>
      <w:r>
        <w:rPr>
          <w:rFonts w:cs="Calibri"/>
        </w:rPr>
        <w:tab/>
      </w:r>
      <w:r>
        <w:rPr>
          <w:rFonts w:cs="Calibri"/>
        </w:rPr>
        <w:tab/>
      </w:r>
      <w:r>
        <w:rPr>
          <w:rFonts w:cs="Calibri"/>
        </w:rPr>
        <w:tab/>
      </w:r>
    </w:p>
    <w:p w14:paraId="38739AF1" w14:textId="30B1DC47" w:rsidR="00370CBB" w:rsidRDefault="00370CBB" w:rsidP="00963603">
      <w:pPr>
        <w:spacing w:after="0" w:line="240" w:lineRule="auto"/>
        <w:ind w:left="360" w:right="-20"/>
        <w:rPr>
          <w:b/>
        </w:rPr>
      </w:pPr>
      <w:r w:rsidRPr="007839EE">
        <w:rPr>
          <w:b/>
        </w:rPr>
        <w:t>Principal Investigator (PI)</w:t>
      </w:r>
    </w:p>
    <w:p w14:paraId="3647F747" w14:textId="5190D39D" w:rsidR="00370CBB" w:rsidRDefault="00370CBB" w:rsidP="00370CBB">
      <w:pPr>
        <w:spacing w:after="0" w:line="240" w:lineRule="auto"/>
        <w:ind w:left="360" w:right="-20"/>
        <w:rPr>
          <w:i/>
        </w:rPr>
      </w:pPr>
      <w:r>
        <w:t>Code 21 of Federal Regulations</w:t>
      </w:r>
      <w:r w:rsidRPr="00C237BD">
        <w:t xml:space="preserve"> 312.53(c)(</w:t>
      </w:r>
      <w:r w:rsidR="001548DD" w:rsidRPr="00C237BD">
        <w:t>1) (</w:t>
      </w:r>
      <w:r w:rsidRPr="00C237BD">
        <w:t>vi(e)</w:t>
      </w:r>
      <w:r>
        <w:t>)</w:t>
      </w:r>
      <w:r w:rsidRPr="00C237BD">
        <w:t xml:space="preserve"> indicates that </w:t>
      </w:r>
      <w:r w:rsidRPr="00AF6830">
        <w:t xml:space="preserve">a commitment by the investigator is required that he/she </w:t>
      </w:r>
      <w:r w:rsidRPr="007B1CAD">
        <w:rPr>
          <w:i/>
        </w:rPr>
        <w:t>will report to the sponsor adverse experiences that occur in the course of the investigation</w:t>
      </w:r>
      <w:r>
        <w:rPr>
          <w:i/>
        </w:rPr>
        <w:t>(s)</w:t>
      </w:r>
      <w:r w:rsidRPr="007B1CAD">
        <w:rPr>
          <w:i/>
        </w:rPr>
        <w:t>, in accordance with 312.64</w:t>
      </w:r>
      <w:r>
        <w:rPr>
          <w:i/>
        </w:rPr>
        <w:t xml:space="preserve"> (Investigator reports).</w:t>
      </w:r>
    </w:p>
    <w:p w14:paraId="01E63471" w14:textId="77777777" w:rsidR="00370CBB" w:rsidRPr="008D5E59" w:rsidRDefault="00370CBB" w:rsidP="00370CBB">
      <w:pPr>
        <w:spacing w:after="0" w:line="240" w:lineRule="auto"/>
        <w:ind w:left="360" w:right="-20"/>
      </w:pPr>
    </w:p>
    <w:p w14:paraId="777677C3" w14:textId="77777777" w:rsidR="00370CBB" w:rsidRDefault="00370CBB" w:rsidP="00370CBB">
      <w:pPr>
        <w:spacing w:after="0" w:line="240" w:lineRule="auto"/>
        <w:ind w:left="360" w:right="-20"/>
        <w:rPr>
          <w:i/>
        </w:rPr>
      </w:pPr>
      <w:r w:rsidRPr="00F37033">
        <w:t>Si</w:t>
      </w:r>
      <w:r>
        <w:t xml:space="preserve">milarly, IDE regulation 812.150(a)(1) indicates: </w:t>
      </w:r>
      <w:r>
        <w:rPr>
          <w:i/>
        </w:rPr>
        <w:t xml:space="preserve">an investigator shall submit to the sponsor and to the reviewing IRB a report of any unanticipated adverse device effect occurring during an investigation as soon as possible, but in no event later than 10 working days after the investigator first learns of the effect. </w:t>
      </w:r>
    </w:p>
    <w:p w14:paraId="6DCC346E" w14:textId="4544C375" w:rsidR="00370CBB" w:rsidRDefault="00370CBB" w:rsidP="00963603">
      <w:pPr>
        <w:spacing w:after="0" w:line="240" w:lineRule="auto"/>
        <w:ind w:left="360" w:right="-20"/>
        <w:rPr>
          <w:b/>
        </w:rPr>
      </w:pPr>
    </w:p>
    <w:p w14:paraId="0E0BF535" w14:textId="3FA0BF60" w:rsidR="007839EE" w:rsidRDefault="00370CBB" w:rsidP="00370CBB">
      <w:pPr>
        <w:spacing w:after="0" w:line="240" w:lineRule="auto"/>
        <w:ind w:left="360" w:right="-20"/>
      </w:pPr>
      <w:r>
        <w:t>21 CFR 812.150(7)(1) provides additional guidance regarding reporting of unanticipated adverse device effects.</w:t>
      </w:r>
      <w:r w:rsidR="007839EE">
        <w:t xml:space="preserve"> </w:t>
      </w:r>
      <w:r w:rsidR="007839EE" w:rsidRPr="00B23F13">
        <w:rPr>
          <w:rFonts w:cs="Courier New"/>
          <w:i/>
          <w:iCs/>
        </w:rPr>
        <w:t>Unanticipated adverse device effects.</w:t>
      </w:r>
      <w:r w:rsidR="00126C35" w:rsidRPr="00126C35">
        <w:rPr>
          <w:rFonts w:cs="Courier New"/>
        </w:rPr>
        <w:t xml:space="preserve"> </w:t>
      </w:r>
      <w:r w:rsidR="00126C35" w:rsidRPr="006A0929">
        <w:rPr>
          <w:rFonts w:cs="Courier New"/>
          <w:i/>
          <w:iCs/>
        </w:rPr>
        <w:t>A sponsor who conducts an evaluation of an unanticipated adverse device effect under 812.46(b) shall report the results of such evaluation to FDA and to all reviewing IRB's and participating investigators within 10 working days after the sponsor first receives notice of the effect. Thereafter the sponsor shall submit such additional reports concerning the effect as FDA requests.</w:t>
      </w:r>
    </w:p>
    <w:p w14:paraId="5BFB1C79" w14:textId="77777777" w:rsidR="00370CBB" w:rsidRDefault="00370CBB" w:rsidP="00370CBB">
      <w:pPr>
        <w:spacing w:after="0" w:line="240" w:lineRule="auto"/>
        <w:ind w:left="360" w:right="-20"/>
      </w:pPr>
    </w:p>
    <w:p w14:paraId="4B802D6A" w14:textId="3702DC36" w:rsidR="00370CBB" w:rsidRDefault="00370CBB" w:rsidP="00370CBB">
      <w:pPr>
        <w:spacing w:after="0" w:line="240" w:lineRule="auto"/>
        <w:ind w:left="360" w:right="-20"/>
      </w:pPr>
      <w:r>
        <w:t>Investigators are also responsible for assuring IRB reviews are completed per 21 CFR 312.66</w:t>
      </w:r>
      <w:r w:rsidR="001C4862">
        <w:t>:</w:t>
      </w:r>
      <w:r>
        <w:t xml:space="preserve"> </w:t>
      </w:r>
    </w:p>
    <w:p w14:paraId="0F5B2516" w14:textId="77777777" w:rsidR="00370CBB" w:rsidRPr="0005043C" w:rsidRDefault="00370CBB" w:rsidP="00370CBB">
      <w:pPr>
        <w:spacing w:after="0" w:line="240" w:lineRule="auto"/>
        <w:ind w:left="360" w:right="-20"/>
        <w:rPr>
          <w:i/>
        </w:rPr>
      </w:pPr>
      <w:r w:rsidRPr="0005043C">
        <w:rPr>
          <w:i/>
        </w:rPr>
        <w:t>An investigator shall assure that an IRB that complies with the requirements set forth in part 56 will be responsible for the initial and continuing review and approval of the proposed clinical study. The investigator shall also assure that he or she will promptly report to the IRB all changes in the research activity and all unanticipated problems involving risk to human subjects or others, and that he or she will not make any changes in the research without IRB approval, except where necessary to eliminate apparent immediate hazards to human subjects.</w:t>
      </w:r>
    </w:p>
    <w:p w14:paraId="04312937" w14:textId="5CF82E0F" w:rsidR="00370CBB" w:rsidRDefault="00370CBB" w:rsidP="00F14445">
      <w:pPr>
        <w:spacing w:before="100" w:beforeAutospacing="1" w:after="100" w:afterAutospacing="1" w:line="240" w:lineRule="auto"/>
        <w:ind w:firstLine="360"/>
        <w:rPr>
          <w:rFonts w:eastAsia="Times New Roman" w:cs="Times New Roman"/>
          <w:b/>
        </w:rPr>
      </w:pPr>
      <w:r w:rsidRPr="00F14445">
        <w:rPr>
          <w:rFonts w:eastAsia="Times New Roman" w:cs="Times New Roman"/>
          <w:b/>
        </w:rPr>
        <w:lastRenderedPageBreak/>
        <w:t>Sponsor</w:t>
      </w:r>
      <w:r w:rsidR="00866F66">
        <w:rPr>
          <w:rFonts w:eastAsia="Times New Roman" w:cs="Times New Roman"/>
          <w:b/>
        </w:rPr>
        <w:t>-</w:t>
      </w:r>
      <w:r w:rsidRPr="00F14445">
        <w:rPr>
          <w:rFonts w:eastAsia="Times New Roman" w:cs="Times New Roman"/>
          <w:b/>
        </w:rPr>
        <w:t xml:space="preserve">Investigator (SI): </w:t>
      </w:r>
    </w:p>
    <w:p w14:paraId="33187DE6" w14:textId="03E514EE" w:rsidR="00370CBB" w:rsidRPr="00C45D19" w:rsidRDefault="00370CBB" w:rsidP="00370CBB">
      <w:pPr>
        <w:spacing w:after="0" w:line="240" w:lineRule="auto"/>
        <w:ind w:left="360" w:right="-20"/>
      </w:pPr>
      <w:r w:rsidRPr="00C45D19">
        <w:t>Per code 21 Code of Federal Regulations Part 312.32</w:t>
      </w:r>
      <w:r w:rsidR="00840F23" w:rsidRPr="00C45D19">
        <w:t xml:space="preserve"> </w:t>
      </w:r>
      <w:r w:rsidR="00C45D19">
        <w:t>(c)</w:t>
      </w:r>
      <w:r w:rsidR="00840F23" w:rsidRPr="00C45D19">
        <w:t>(1)</w:t>
      </w:r>
      <w:r w:rsidRPr="00C45D19">
        <w:t xml:space="preserve">: </w:t>
      </w:r>
    </w:p>
    <w:p w14:paraId="4DA2BF90" w14:textId="77777777" w:rsidR="00370CBB" w:rsidRDefault="00370CBB" w:rsidP="00370CBB">
      <w:pPr>
        <w:spacing w:after="0" w:line="240" w:lineRule="auto"/>
        <w:ind w:left="360" w:right="-20"/>
        <w:rPr>
          <w:rFonts w:cstheme="minorHAnsi"/>
          <w:i/>
        </w:rPr>
      </w:pPr>
      <w:r w:rsidRPr="006014E7">
        <w:rPr>
          <w:rFonts w:cstheme="minorHAnsi"/>
          <w:i/>
        </w:rPr>
        <w:t xml:space="preserve">The sponsor must notify FDA and all participating investigators in an IND safety report of potential serious risks, from clinical trials or any other source, as soon as possible, but in no case later than 15 </w:t>
      </w:r>
    </w:p>
    <w:p w14:paraId="779BDD70" w14:textId="77777777" w:rsidR="00370CBB" w:rsidRPr="006014E7" w:rsidRDefault="00370CBB" w:rsidP="00370CBB">
      <w:pPr>
        <w:spacing w:after="0" w:line="240" w:lineRule="auto"/>
        <w:ind w:left="360" w:right="-20"/>
        <w:rPr>
          <w:rFonts w:cstheme="minorHAnsi"/>
          <w:i/>
        </w:rPr>
      </w:pPr>
      <w:r w:rsidRPr="006014E7">
        <w:rPr>
          <w:rFonts w:cstheme="minorHAnsi"/>
          <w:i/>
        </w:rPr>
        <w:t>calendar days after the sponsor determines that the information qualifies for reporting under paragraph (c)(1)(i), (c)(1)(ii), (c)(1)(iii), or (c)(1)(iv) of this section. In each IND safety report, the sponsor must identify all IND safety reports previously submitted to FDA concerning a similar suspected adverse reaction, and must analyze the significance of the suspected adverse reaction in light of previous, similar reports or any other relevant information.</w:t>
      </w:r>
    </w:p>
    <w:p w14:paraId="318B01A2" w14:textId="77777777" w:rsidR="00370CBB" w:rsidRDefault="00370CBB" w:rsidP="00370CBB">
      <w:pPr>
        <w:spacing w:after="0" w:line="240" w:lineRule="auto"/>
        <w:ind w:left="360" w:right="-20"/>
        <w:rPr>
          <w:sz w:val="23"/>
          <w:szCs w:val="23"/>
        </w:rPr>
      </w:pPr>
    </w:p>
    <w:p w14:paraId="3CCA65B7" w14:textId="77777777" w:rsidR="00370CBB" w:rsidRDefault="00370CBB" w:rsidP="00370CBB">
      <w:pPr>
        <w:spacing w:after="0" w:line="240" w:lineRule="auto"/>
        <w:ind w:left="360" w:right="-20"/>
      </w:pPr>
      <w:r>
        <w:t xml:space="preserve">Additionally, 312.32 (2) states that </w:t>
      </w:r>
      <w:r w:rsidRPr="00C45D19">
        <w:rPr>
          <w:i/>
          <w:iCs/>
        </w:rPr>
        <w:t>the sponsor must also notify FDA of any unexpected fatal or life-threatening suspected adverse reaction as soon as possible, but in no case later than 7 calendar days after the sponsor’s initial receipt of the information</w:t>
      </w:r>
      <w:r>
        <w:t xml:space="preserve">. </w:t>
      </w:r>
    </w:p>
    <w:p w14:paraId="0A2D7668" w14:textId="77777777" w:rsidR="001D3138" w:rsidRDefault="001D3138" w:rsidP="001D3138">
      <w:pPr>
        <w:spacing w:after="0" w:line="240" w:lineRule="auto"/>
        <w:ind w:left="360" w:right="-20"/>
      </w:pPr>
    </w:p>
    <w:p w14:paraId="7454C736" w14:textId="3F50FB34" w:rsidR="006A4EE1" w:rsidRPr="001154E3" w:rsidRDefault="006A4EE1" w:rsidP="006A4EE1">
      <w:pPr>
        <w:spacing w:after="0" w:line="240" w:lineRule="auto"/>
        <w:ind w:left="360" w:right="-20"/>
        <w:rPr>
          <w:b/>
          <w:sz w:val="23"/>
          <w:szCs w:val="23"/>
        </w:rPr>
      </w:pPr>
      <w:r w:rsidRPr="001154E3">
        <w:rPr>
          <w:rFonts w:ascii="Calibri" w:eastAsia="Calibri" w:hAnsi="Calibri" w:cs="Calibri"/>
          <w:b/>
        </w:rPr>
        <w:t>University of Michigan Institutional Review Board (IRB</w:t>
      </w:r>
      <w:r w:rsidR="0005043C">
        <w:rPr>
          <w:rFonts w:ascii="Calibri" w:eastAsia="Calibri" w:hAnsi="Calibri" w:cs="Calibri"/>
          <w:b/>
        </w:rPr>
        <w:t>MED</w:t>
      </w:r>
      <w:r w:rsidRPr="001154E3">
        <w:rPr>
          <w:rFonts w:ascii="Calibri" w:eastAsia="Calibri" w:hAnsi="Calibri" w:cs="Calibri"/>
          <w:b/>
        </w:rPr>
        <w:t>)</w:t>
      </w:r>
    </w:p>
    <w:p w14:paraId="0AF323F9" w14:textId="03F48F7E" w:rsidR="00C237BD" w:rsidRPr="00037618" w:rsidRDefault="00C237BD" w:rsidP="006014E7">
      <w:pPr>
        <w:widowControl w:val="0"/>
        <w:autoSpaceDE w:val="0"/>
        <w:autoSpaceDN w:val="0"/>
        <w:adjustRightInd w:val="0"/>
        <w:spacing w:after="0" w:line="239" w:lineRule="auto"/>
        <w:ind w:right="720"/>
        <w:rPr>
          <w:rFonts w:cs="Calibri"/>
        </w:rPr>
      </w:pPr>
    </w:p>
    <w:p w14:paraId="2CB7C20D" w14:textId="21327068" w:rsidR="00C237BD" w:rsidRDefault="00057C61" w:rsidP="00C237BD">
      <w:pPr>
        <w:widowControl w:val="0"/>
        <w:autoSpaceDE w:val="0"/>
        <w:autoSpaceDN w:val="0"/>
        <w:adjustRightInd w:val="0"/>
        <w:spacing w:after="0" w:line="239" w:lineRule="auto"/>
        <w:ind w:left="360" w:right="720"/>
        <w:rPr>
          <w:rFonts w:cstheme="minorHAnsi"/>
          <w:i/>
          <w:color w:val="000000"/>
        </w:rPr>
      </w:pPr>
      <w:r>
        <w:rPr>
          <w:rFonts w:cstheme="minorHAnsi"/>
          <w:color w:val="333333"/>
        </w:rPr>
        <w:t>According to the</w:t>
      </w:r>
      <w:r w:rsidR="005D0481">
        <w:rPr>
          <w:rFonts w:cstheme="minorHAnsi"/>
          <w:color w:val="333333"/>
        </w:rPr>
        <w:t xml:space="preserve"> University of Michigan</w:t>
      </w:r>
      <w:r>
        <w:rPr>
          <w:rFonts w:cstheme="minorHAnsi"/>
          <w:color w:val="333333"/>
        </w:rPr>
        <w:t xml:space="preserve"> Institutional Review Board (IRB)</w:t>
      </w:r>
      <w:r w:rsidR="00EA0175">
        <w:rPr>
          <w:rFonts w:cstheme="minorHAnsi"/>
          <w:color w:val="333333"/>
        </w:rPr>
        <w:t>,</w:t>
      </w:r>
      <w:r w:rsidR="00AF6830">
        <w:rPr>
          <w:rFonts w:cstheme="minorHAnsi"/>
          <w:color w:val="333333"/>
        </w:rPr>
        <w:t xml:space="preserve"> </w:t>
      </w:r>
      <w:r w:rsidRPr="00AC1998">
        <w:rPr>
          <w:rFonts w:cstheme="minorHAnsi"/>
          <w:i/>
          <w:color w:val="000000"/>
        </w:rPr>
        <w:t>It is a federal and university requirement that investigators of all human subjects research (whether FDA-regulated or not) report to the IRB any ‘unanticipated problems involving risks to the subjects or others' (hereafter referred to as ‘unanticipated problems</w:t>
      </w:r>
      <w:r w:rsidR="00036DC7">
        <w:rPr>
          <w:rFonts w:cstheme="minorHAnsi"/>
          <w:i/>
          <w:color w:val="000000"/>
        </w:rPr>
        <w:t>’</w:t>
      </w:r>
      <w:r w:rsidR="005D0481" w:rsidRPr="00AC1998">
        <w:rPr>
          <w:rFonts w:cstheme="minorHAnsi"/>
          <w:i/>
          <w:color w:val="000000"/>
        </w:rPr>
        <w:t>)</w:t>
      </w:r>
      <w:r w:rsidR="00036DC7">
        <w:rPr>
          <w:rFonts w:cstheme="minorHAnsi"/>
          <w:i/>
          <w:color w:val="000000"/>
        </w:rPr>
        <w:t>.</w:t>
      </w:r>
    </w:p>
    <w:p w14:paraId="6E60632F" w14:textId="77777777" w:rsidR="00B52DE4" w:rsidRDefault="00B52DE4" w:rsidP="00C237BD">
      <w:pPr>
        <w:widowControl w:val="0"/>
        <w:autoSpaceDE w:val="0"/>
        <w:autoSpaceDN w:val="0"/>
        <w:adjustRightInd w:val="0"/>
        <w:spacing w:after="0" w:line="239" w:lineRule="auto"/>
        <w:ind w:left="360" w:right="720"/>
        <w:rPr>
          <w:rFonts w:cstheme="minorHAnsi"/>
          <w:color w:val="000000"/>
        </w:rPr>
      </w:pPr>
    </w:p>
    <w:p w14:paraId="1148AEFE" w14:textId="2F4CE6D3" w:rsidR="003931B1" w:rsidRDefault="00B52DE4" w:rsidP="00C237BD">
      <w:pPr>
        <w:widowControl w:val="0"/>
        <w:autoSpaceDE w:val="0"/>
        <w:autoSpaceDN w:val="0"/>
        <w:adjustRightInd w:val="0"/>
        <w:spacing w:after="0" w:line="239" w:lineRule="auto"/>
        <w:ind w:left="360" w:right="720"/>
        <w:rPr>
          <w:rFonts w:cstheme="minorHAnsi"/>
          <w:color w:val="000000"/>
        </w:rPr>
      </w:pPr>
      <w:r w:rsidRPr="00935810">
        <w:rPr>
          <w:rFonts w:cstheme="minorHAnsi"/>
          <w:color w:val="000000"/>
        </w:rPr>
        <w:t xml:space="preserve">In addition, </w:t>
      </w:r>
      <w:r w:rsidR="0076094E">
        <w:rPr>
          <w:rFonts w:cstheme="minorHAnsi"/>
          <w:color w:val="000000"/>
        </w:rPr>
        <w:t>the IRB requires clinical research</w:t>
      </w:r>
      <w:r w:rsidR="00501D6F" w:rsidRPr="00935810">
        <w:rPr>
          <w:rFonts w:cstheme="minorHAnsi"/>
          <w:color w:val="000000"/>
        </w:rPr>
        <w:t xml:space="preserve"> teams to follow the IRBMED Standard AE Reporting Guidelines or the </w:t>
      </w:r>
      <w:r w:rsidR="0076094E">
        <w:rPr>
          <w:rFonts w:cstheme="minorHAnsi"/>
          <w:color w:val="000000"/>
        </w:rPr>
        <w:t>clinical research</w:t>
      </w:r>
      <w:r w:rsidR="00501D6F" w:rsidRPr="00935810">
        <w:rPr>
          <w:rFonts w:cstheme="minorHAnsi"/>
          <w:color w:val="000000"/>
        </w:rPr>
        <w:t xml:space="preserve"> team</w:t>
      </w:r>
      <w:r w:rsidR="0045769A" w:rsidRPr="00935810">
        <w:rPr>
          <w:rFonts w:cstheme="minorHAnsi"/>
          <w:color w:val="000000"/>
        </w:rPr>
        <w:t>’</w:t>
      </w:r>
      <w:r w:rsidR="00501D6F" w:rsidRPr="00935810">
        <w:rPr>
          <w:rFonts w:cstheme="minorHAnsi"/>
          <w:color w:val="000000"/>
        </w:rPr>
        <w:t>s own</w:t>
      </w:r>
      <w:r w:rsidR="00260237">
        <w:rPr>
          <w:rFonts w:cstheme="minorHAnsi"/>
          <w:color w:val="000000"/>
        </w:rPr>
        <w:t xml:space="preserve"> IRB</w:t>
      </w:r>
      <w:r w:rsidR="00501D6F" w:rsidRPr="00935810">
        <w:rPr>
          <w:rFonts w:cstheme="minorHAnsi"/>
          <w:color w:val="000000"/>
        </w:rPr>
        <w:t xml:space="preserve"> approved </w:t>
      </w:r>
      <w:r w:rsidR="008D67CA">
        <w:rPr>
          <w:rFonts w:cstheme="minorHAnsi"/>
          <w:color w:val="000000"/>
        </w:rPr>
        <w:t>study-</w:t>
      </w:r>
      <w:r w:rsidR="0076094E">
        <w:rPr>
          <w:rFonts w:cstheme="minorHAnsi"/>
          <w:color w:val="000000"/>
        </w:rPr>
        <w:t>specific</w:t>
      </w:r>
      <w:r w:rsidR="00501D6F" w:rsidRPr="00935810">
        <w:rPr>
          <w:rFonts w:cstheme="minorHAnsi"/>
          <w:color w:val="000000"/>
        </w:rPr>
        <w:t xml:space="preserve"> reporting gui</w:t>
      </w:r>
      <w:r w:rsidR="00214188" w:rsidRPr="00935810">
        <w:rPr>
          <w:rFonts w:cstheme="minorHAnsi"/>
          <w:color w:val="000000"/>
        </w:rPr>
        <w:t>d</w:t>
      </w:r>
      <w:r w:rsidR="00501D6F" w:rsidRPr="00935810">
        <w:rPr>
          <w:rFonts w:cstheme="minorHAnsi"/>
          <w:color w:val="000000"/>
        </w:rPr>
        <w:t xml:space="preserve">elines for reporting internal AEs to the IRB. The reporting obligations for </w:t>
      </w:r>
      <w:r w:rsidR="00C52FEA" w:rsidRPr="00935810">
        <w:rPr>
          <w:rFonts w:cstheme="minorHAnsi"/>
          <w:color w:val="000000"/>
        </w:rPr>
        <w:t xml:space="preserve">external </w:t>
      </w:r>
      <w:r w:rsidRPr="00935810">
        <w:rPr>
          <w:rFonts w:cstheme="minorHAnsi"/>
          <w:color w:val="000000"/>
        </w:rPr>
        <w:t xml:space="preserve">AEs </w:t>
      </w:r>
      <w:r w:rsidR="00501D6F" w:rsidRPr="00935810">
        <w:rPr>
          <w:rFonts w:cstheme="minorHAnsi"/>
          <w:color w:val="000000"/>
        </w:rPr>
        <w:t xml:space="preserve">to the IRB </w:t>
      </w:r>
      <w:r w:rsidR="003931B1" w:rsidRPr="00935810">
        <w:rPr>
          <w:rFonts w:cstheme="minorHAnsi"/>
          <w:color w:val="000000"/>
        </w:rPr>
        <w:t>are different from these and the IRBMED has unique reporting guidance for these</w:t>
      </w:r>
      <w:r w:rsidR="0045769A" w:rsidRPr="00935810">
        <w:rPr>
          <w:rFonts w:cstheme="minorHAnsi"/>
          <w:color w:val="000000"/>
        </w:rPr>
        <w:t xml:space="preserve"> as well</w:t>
      </w:r>
      <w:r w:rsidR="003931B1" w:rsidRPr="00935810">
        <w:rPr>
          <w:rFonts w:cstheme="minorHAnsi"/>
          <w:color w:val="000000"/>
        </w:rPr>
        <w:t>.</w:t>
      </w:r>
    </w:p>
    <w:p w14:paraId="01CB93D4" w14:textId="77777777" w:rsidR="00D76F19" w:rsidRDefault="00D76F19" w:rsidP="00E54A87">
      <w:pPr>
        <w:widowControl w:val="0"/>
        <w:autoSpaceDE w:val="0"/>
        <w:autoSpaceDN w:val="0"/>
        <w:adjustRightInd w:val="0"/>
        <w:spacing w:after="0" w:line="239" w:lineRule="auto"/>
        <w:ind w:right="720"/>
        <w:rPr>
          <w:rFonts w:cs="Calibri"/>
        </w:rPr>
      </w:pPr>
    </w:p>
    <w:p w14:paraId="0C9DE0E1" w14:textId="77777777" w:rsidR="006A4EE1" w:rsidRDefault="006A4EE1" w:rsidP="006A4EE1">
      <w:pPr>
        <w:widowControl w:val="0"/>
        <w:autoSpaceDE w:val="0"/>
        <w:autoSpaceDN w:val="0"/>
        <w:adjustRightInd w:val="0"/>
        <w:spacing w:after="0" w:line="239" w:lineRule="auto"/>
        <w:ind w:left="360" w:right="720"/>
        <w:rPr>
          <w:rFonts w:cs="Calibri"/>
          <w:b/>
        </w:rPr>
      </w:pPr>
      <w:r w:rsidRPr="003071F8">
        <w:rPr>
          <w:rFonts w:cs="Calibri"/>
          <w:b/>
        </w:rPr>
        <w:t>Additional Regulations or Policies</w:t>
      </w:r>
      <w:r w:rsidRPr="003071F8">
        <w:rPr>
          <w:rFonts w:cs="Calibri"/>
          <w:b/>
        </w:rPr>
        <w:tab/>
      </w:r>
      <w:r w:rsidRPr="003071F8">
        <w:rPr>
          <w:rFonts w:cs="Calibri"/>
          <w:b/>
        </w:rPr>
        <w:tab/>
        <w:t xml:space="preserve"> </w:t>
      </w:r>
      <w:sdt>
        <w:sdtPr>
          <w:rPr>
            <w:rFonts w:cs="Calibri"/>
            <w:b/>
          </w:rPr>
          <w:id w:val="1710683029"/>
          <w14:checkbox>
            <w14:checked w14:val="0"/>
            <w14:checkedState w14:val="2612" w14:font="MS Gothic"/>
            <w14:uncheckedState w14:val="2610" w14:font="MS Gothic"/>
          </w14:checkbox>
        </w:sdtPr>
        <w:sdtEndPr/>
        <w:sdtContent>
          <w:r w:rsidRPr="003071F8">
            <w:rPr>
              <w:rFonts w:ascii="MS Gothic" w:eastAsia="MS Gothic" w:hAnsi="MS Gothic" w:cs="Calibri" w:hint="eastAsia"/>
              <w:b/>
            </w:rPr>
            <w:t>☐</w:t>
          </w:r>
        </w:sdtContent>
      </w:sdt>
      <w:r w:rsidRPr="003071F8">
        <w:rPr>
          <w:rFonts w:cs="Calibri"/>
          <w:b/>
        </w:rPr>
        <w:t xml:space="preserve"> N/A</w:t>
      </w:r>
    </w:p>
    <w:p w14:paraId="401AD26A" w14:textId="77777777" w:rsidR="00E54A87" w:rsidRDefault="00E54A87" w:rsidP="00E54A87">
      <w:pPr>
        <w:widowControl w:val="0"/>
        <w:autoSpaceDE w:val="0"/>
        <w:autoSpaceDN w:val="0"/>
        <w:adjustRightInd w:val="0"/>
        <w:spacing w:after="0" w:line="239" w:lineRule="auto"/>
        <w:ind w:left="360" w:right="720"/>
        <w:rPr>
          <w:rFonts w:cs="Calibri"/>
          <w:b/>
        </w:rPr>
      </w:pPr>
      <w:r w:rsidRPr="00B9043B">
        <w:rPr>
          <w:rFonts w:cs="Calibri"/>
          <w:b/>
        </w:rPr>
        <w:t>(MANDATORY LANGUAGE)</w:t>
      </w:r>
    </w:p>
    <w:p w14:paraId="0348B2A7" w14:textId="77777777" w:rsidR="006A4EE1" w:rsidRPr="00037618" w:rsidRDefault="006A4EE1" w:rsidP="006A4EE1">
      <w:pPr>
        <w:widowControl w:val="0"/>
        <w:autoSpaceDE w:val="0"/>
        <w:autoSpaceDN w:val="0"/>
        <w:adjustRightInd w:val="0"/>
        <w:spacing w:after="0" w:line="239" w:lineRule="auto"/>
        <w:ind w:left="360" w:right="720"/>
        <w:rPr>
          <w:rFonts w:cs="Calibri"/>
        </w:rPr>
      </w:pPr>
    </w:p>
    <w:p w14:paraId="52044A09" w14:textId="6D25D39E" w:rsidR="00F14432" w:rsidRDefault="00C237BD" w:rsidP="00D76F19">
      <w:pPr>
        <w:widowControl w:val="0"/>
        <w:autoSpaceDE w:val="0"/>
        <w:autoSpaceDN w:val="0"/>
        <w:adjustRightInd w:val="0"/>
        <w:spacing w:after="0" w:line="240" w:lineRule="auto"/>
        <w:ind w:left="360" w:right="720"/>
        <w:rPr>
          <w:rFonts w:cs="Calibri"/>
          <w:i/>
          <w:color w:val="00B0F0"/>
        </w:rPr>
      </w:pPr>
      <w:r w:rsidRPr="00F1615E">
        <w:rPr>
          <w:rFonts w:cs="Calibri"/>
          <w:i/>
          <w:color w:val="00B0F0"/>
        </w:rPr>
        <w:t>[Optional:</w:t>
      </w:r>
      <w:r>
        <w:rPr>
          <w:rFonts w:cs="Calibri"/>
          <w:i/>
          <w:color w:val="00B0F0"/>
        </w:rPr>
        <w:t xml:space="preserve"> I</w:t>
      </w:r>
      <w:r w:rsidRPr="00F1615E">
        <w:rPr>
          <w:rFonts w:cs="Calibri"/>
          <w:i/>
          <w:color w:val="00B0F0"/>
        </w:rPr>
        <w:t xml:space="preserve">nsert any additional project, department, sponsor, institution, </w:t>
      </w:r>
      <w:r w:rsidR="00812903" w:rsidRPr="00F1615E">
        <w:rPr>
          <w:rFonts w:cs="Calibri"/>
          <w:i/>
          <w:color w:val="00B0F0"/>
        </w:rPr>
        <w:t>state,</w:t>
      </w:r>
      <w:r w:rsidRPr="00F1615E">
        <w:rPr>
          <w:rFonts w:cs="Calibri"/>
          <w:i/>
          <w:color w:val="00B0F0"/>
        </w:rPr>
        <w:t xml:space="preserve"> or federal policies that apply]</w:t>
      </w:r>
    </w:p>
    <w:p w14:paraId="5CADF025" w14:textId="77777777" w:rsidR="001956F1" w:rsidRDefault="001956F1" w:rsidP="00D76F19">
      <w:pPr>
        <w:widowControl w:val="0"/>
        <w:autoSpaceDE w:val="0"/>
        <w:autoSpaceDN w:val="0"/>
        <w:adjustRightInd w:val="0"/>
        <w:spacing w:after="0" w:line="240" w:lineRule="auto"/>
        <w:ind w:left="360" w:right="720"/>
        <w:rPr>
          <w:rFonts w:ascii="Calibri" w:eastAsia="Calibri" w:hAnsi="Calibri" w:cs="Calibri"/>
          <w:b/>
          <w:bCs/>
          <w:spacing w:val="-2"/>
        </w:rPr>
      </w:pPr>
    </w:p>
    <w:p w14:paraId="52277532" w14:textId="01529A36" w:rsidR="00F14432" w:rsidRPr="002D0719" w:rsidRDefault="00F14432" w:rsidP="00F14432">
      <w:pPr>
        <w:pStyle w:val="ListParagraph"/>
        <w:numPr>
          <w:ilvl w:val="0"/>
          <w:numId w:val="10"/>
        </w:numPr>
        <w:spacing w:after="0" w:line="240" w:lineRule="auto"/>
        <w:rPr>
          <w:b/>
        </w:rPr>
      </w:pPr>
      <w:r>
        <w:rPr>
          <w:b/>
        </w:rPr>
        <w:t>DEFINITIONS</w:t>
      </w:r>
    </w:p>
    <w:p w14:paraId="1A6C9854" w14:textId="77777777" w:rsidR="00214188" w:rsidRDefault="00214188" w:rsidP="00214188">
      <w:pPr>
        <w:pStyle w:val="ListParagraph"/>
        <w:spacing w:after="0" w:line="240" w:lineRule="auto"/>
        <w:ind w:right="-20"/>
        <w:rPr>
          <w:rFonts w:ascii="Calibri" w:eastAsia="Calibri" w:hAnsi="Calibri" w:cs="Calibri"/>
          <w:b/>
          <w:bCs/>
        </w:rPr>
      </w:pPr>
    </w:p>
    <w:p w14:paraId="40BB36F9" w14:textId="541153E5" w:rsidR="000D712A" w:rsidRPr="000D712A" w:rsidRDefault="008955BD" w:rsidP="00C66B9D">
      <w:pPr>
        <w:spacing w:after="0" w:line="240" w:lineRule="auto"/>
        <w:ind w:left="360"/>
        <w:rPr>
          <w:rFonts w:cstheme="minorHAnsi"/>
          <w:color w:val="333333"/>
        </w:rPr>
      </w:pPr>
      <w:r>
        <w:rPr>
          <w:rFonts w:eastAsia="Calibri" w:cstheme="minorHAnsi"/>
          <w:spacing w:val="-1"/>
        </w:rPr>
        <w:t xml:space="preserve">ADVERSE EVENT </w:t>
      </w:r>
      <w:r w:rsidR="00BB2A71" w:rsidRPr="008955BD">
        <w:rPr>
          <w:rFonts w:eastAsia="Calibri" w:cstheme="minorHAnsi"/>
          <w:spacing w:val="-1"/>
        </w:rPr>
        <w:t>(AE</w:t>
      </w:r>
      <w:r w:rsidR="00BB2A71" w:rsidRPr="000D712A">
        <w:rPr>
          <w:rFonts w:eastAsia="Calibri" w:cstheme="minorHAnsi"/>
          <w:spacing w:val="-1"/>
        </w:rPr>
        <w:t>)</w:t>
      </w:r>
      <w:r w:rsidR="00B06676" w:rsidRPr="000D712A">
        <w:rPr>
          <w:rFonts w:eastAsia="Calibri" w:cstheme="minorHAnsi"/>
          <w:spacing w:val="-1"/>
        </w:rPr>
        <w:t xml:space="preserve">: </w:t>
      </w:r>
      <w:r w:rsidR="000D712A" w:rsidRPr="000D712A">
        <w:rPr>
          <w:rFonts w:cstheme="minorHAnsi"/>
          <w:color w:val="333333"/>
        </w:rPr>
        <w:t xml:space="preserve">Any experience or abnormal finding that has taken place </w:t>
      </w:r>
      <w:proofErr w:type="gramStart"/>
      <w:r w:rsidR="000D712A" w:rsidRPr="000D712A">
        <w:rPr>
          <w:rFonts w:cstheme="minorHAnsi"/>
          <w:color w:val="333333"/>
        </w:rPr>
        <w:t>during the course of</w:t>
      </w:r>
      <w:proofErr w:type="gramEnd"/>
      <w:r w:rsidR="000D712A" w:rsidRPr="000D712A">
        <w:rPr>
          <w:rFonts w:cstheme="minorHAnsi"/>
          <w:color w:val="333333"/>
        </w:rPr>
        <w:t xml:space="preserve"> a research project and was harmful to the subject participating in the research, or increased the risks of harm from the research, or had an unfavorable impact on the risk/benefit ratio</w:t>
      </w:r>
      <w:r w:rsidR="00812903">
        <w:rPr>
          <w:rFonts w:cstheme="minorHAnsi"/>
          <w:color w:val="333333"/>
        </w:rPr>
        <w:t xml:space="preserve">. </w:t>
      </w:r>
      <w:r w:rsidR="000D712A" w:rsidRPr="002505C6">
        <w:rPr>
          <w:rFonts w:cstheme="minorHAnsi"/>
          <w:color w:val="333333"/>
        </w:rPr>
        <w:t>The event may or may not be caused by an intervention (e.g., headache following spinal tap, death from the underlying disease, car collision). Adverse Events also include psychological, social, e</w:t>
      </w:r>
      <w:r w:rsidR="00F760D4" w:rsidRPr="002505C6">
        <w:rPr>
          <w:rFonts w:cstheme="minorHAnsi"/>
          <w:color w:val="333333"/>
        </w:rPr>
        <w:t>motional, and financial harms</w:t>
      </w:r>
      <w:r w:rsidR="00036DC7" w:rsidRPr="002505C6">
        <w:rPr>
          <w:rFonts w:cstheme="minorHAnsi"/>
          <w:color w:val="333333"/>
        </w:rPr>
        <w:t>.</w:t>
      </w:r>
    </w:p>
    <w:p w14:paraId="27E6A248" w14:textId="2DEEE45B" w:rsidR="00A0123B" w:rsidRPr="008D5E59" w:rsidRDefault="00A0123B" w:rsidP="00173AC5">
      <w:pPr>
        <w:spacing w:after="0" w:line="240" w:lineRule="auto"/>
        <w:ind w:left="360"/>
        <w:rPr>
          <w:rFonts w:eastAsia="Calibri" w:cstheme="minorHAnsi"/>
          <w:spacing w:val="-1"/>
        </w:rPr>
      </w:pPr>
    </w:p>
    <w:p w14:paraId="21CF74B6" w14:textId="52B7EDDD" w:rsidR="00347442" w:rsidRDefault="00347442" w:rsidP="00173AC5">
      <w:pPr>
        <w:spacing w:after="0" w:line="240" w:lineRule="auto"/>
        <w:ind w:left="360"/>
        <w:rPr>
          <w:rFonts w:cstheme="minorHAnsi"/>
          <w:color w:val="333333"/>
        </w:rPr>
      </w:pPr>
      <w:r>
        <w:rPr>
          <w:rFonts w:cstheme="minorHAnsi"/>
        </w:rPr>
        <w:t>C</w:t>
      </w:r>
      <w:r w:rsidR="005B15D5">
        <w:rPr>
          <w:rFonts w:cstheme="minorHAnsi"/>
        </w:rPr>
        <w:t>O</w:t>
      </w:r>
      <w:r w:rsidR="00EA0175">
        <w:rPr>
          <w:rFonts w:cstheme="minorHAnsi"/>
        </w:rPr>
        <w:t>-</w:t>
      </w:r>
      <w:r>
        <w:rPr>
          <w:rFonts w:cstheme="minorHAnsi"/>
        </w:rPr>
        <w:t>INVESTIGATOR</w:t>
      </w:r>
      <w:r w:rsidR="005B15D5">
        <w:rPr>
          <w:rFonts w:cstheme="minorHAnsi"/>
        </w:rPr>
        <w:t xml:space="preserve"> (Co-I)</w:t>
      </w:r>
      <w:r>
        <w:rPr>
          <w:rFonts w:cstheme="minorHAnsi"/>
        </w:rPr>
        <w:t xml:space="preserve">: </w:t>
      </w:r>
      <w:r w:rsidRPr="00347442">
        <w:rPr>
          <w:rFonts w:cstheme="minorHAnsi"/>
          <w:color w:val="333333"/>
        </w:rPr>
        <w:t>Any individual member of the clinical trial team designated and supervised by the principal investigator at a trial site to perform critical trial-related procedures and/or to make important trial-related decisions</w:t>
      </w:r>
      <w:r w:rsidR="001013E5">
        <w:rPr>
          <w:rFonts w:cstheme="minorHAnsi"/>
          <w:color w:val="333333"/>
        </w:rPr>
        <w:t>.</w:t>
      </w:r>
    </w:p>
    <w:p w14:paraId="2CC7B0D9" w14:textId="77777777" w:rsidR="00260147" w:rsidRDefault="00260147" w:rsidP="00173AC5">
      <w:pPr>
        <w:spacing w:after="0" w:line="240" w:lineRule="auto"/>
        <w:ind w:left="360"/>
        <w:rPr>
          <w:rFonts w:cstheme="minorHAnsi"/>
          <w:color w:val="333333"/>
        </w:rPr>
      </w:pPr>
    </w:p>
    <w:p w14:paraId="63685283" w14:textId="026D3AAE" w:rsidR="006369F0" w:rsidRDefault="006369F0" w:rsidP="00173AC5">
      <w:pPr>
        <w:spacing w:after="0" w:line="240" w:lineRule="auto"/>
        <w:ind w:left="360"/>
        <w:rPr>
          <w:rFonts w:cstheme="minorHAnsi"/>
          <w:color w:val="333333"/>
        </w:rPr>
      </w:pPr>
      <w:r>
        <w:rPr>
          <w:rFonts w:cstheme="minorHAnsi"/>
        </w:rPr>
        <w:t xml:space="preserve">DATA </w:t>
      </w:r>
      <w:r w:rsidR="002505C6">
        <w:rPr>
          <w:rFonts w:cstheme="minorHAnsi"/>
        </w:rPr>
        <w:t xml:space="preserve">and </w:t>
      </w:r>
      <w:r>
        <w:rPr>
          <w:rFonts w:cstheme="minorHAnsi"/>
        </w:rPr>
        <w:t>SAFETY MONITORING BOARD</w:t>
      </w:r>
      <w:r w:rsidR="0048115B">
        <w:rPr>
          <w:rFonts w:cstheme="minorHAnsi"/>
        </w:rPr>
        <w:t xml:space="preserve"> (DSMB</w:t>
      </w:r>
      <w:r w:rsidR="0048115B" w:rsidRPr="004B7F00">
        <w:rPr>
          <w:rFonts w:cstheme="minorHAnsi"/>
        </w:rPr>
        <w:t>)</w:t>
      </w:r>
      <w:r w:rsidRPr="004B7F00">
        <w:rPr>
          <w:rFonts w:cstheme="minorHAnsi"/>
          <w:color w:val="333333"/>
        </w:rPr>
        <w:t xml:space="preserve">: </w:t>
      </w:r>
      <w:r w:rsidR="004B7F00" w:rsidRPr="004B7F00">
        <w:rPr>
          <w:rFonts w:cstheme="minorHAnsi"/>
          <w:color w:val="333333"/>
        </w:rPr>
        <w:t>An appointed independent group consisting of at least three (3) members assigned to conduct interim monitoring of accumulating data from research activities to assure the continuing safety of research participants, relevance of the study question, appropriateness of the study, and integrity of the accumulating data.</w:t>
      </w:r>
      <w:r w:rsidR="004B7F00">
        <w:rPr>
          <w:rFonts w:ascii="Helvetica" w:hAnsi="Helvetica" w:cs="Helvetica"/>
          <w:color w:val="333333"/>
        </w:rPr>
        <w:t xml:space="preserve"> </w:t>
      </w:r>
      <w:r w:rsidR="004B7F00" w:rsidRPr="004B7F00">
        <w:rPr>
          <w:rFonts w:cstheme="minorHAnsi"/>
          <w:color w:val="333333"/>
        </w:rPr>
        <w:t>Membership should include expertise in the relevant field of study, statistics, and research stud</w:t>
      </w:r>
      <w:r w:rsidR="00AF6830">
        <w:rPr>
          <w:rFonts w:cstheme="minorHAnsi"/>
          <w:color w:val="333333"/>
        </w:rPr>
        <w:t>y design</w:t>
      </w:r>
      <w:r w:rsidR="00036DC7">
        <w:rPr>
          <w:rFonts w:cstheme="minorHAnsi"/>
          <w:color w:val="333333"/>
        </w:rPr>
        <w:t>.</w:t>
      </w:r>
    </w:p>
    <w:p w14:paraId="41B43088" w14:textId="77777777" w:rsidR="00AF3BE3" w:rsidRDefault="00AF3BE3" w:rsidP="00173AC5">
      <w:pPr>
        <w:spacing w:after="0" w:line="240" w:lineRule="auto"/>
        <w:ind w:left="360"/>
        <w:rPr>
          <w:rFonts w:ascii="Helvetica" w:hAnsi="Helvetica" w:cs="Helvetica"/>
          <w:color w:val="333333"/>
        </w:rPr>
      </w:pPr>
    </w:p>
    <w:p w14:paraId="44726263" w14:textId="752D2221" w:rsidR="00B06676" w:rsidRDefault="008955BD" w:rsidP="00C66B9D">
      <w:pPr>
        <w:spacing w:after="0" w:line="240" w:lineRule="auto"/>
        <w:ind w:left="360"/>
        <w:rPr>
          <w:rFonts w:cstheme="minorHAnsi"/>
          <w:color w:val="333333"/>
        </w:rPr>
      </w:pPr>
      <w:r>
        <w:rPr>
          <w:rFonts w:eastAsia="Calibri" w:cstheme="minorHAnsi"/>
          <w:spacing w:val="-1"/>
        </w:rPr>
        <w:t>EXPECTED EVENT</w:t>
      </w:r>
      <w:r w:rsidR="00B06676" w:rsidRPr="00D0353E">
        <w:rPr>
          <w:rFonts w:eastAsia="Calibri" w:cstheme="minorHAnsi"/>
          <w:b/>
          <w:spacing w:val="-1"/>
        </w:rPr>
        <w:t>:</w:t>
      </w:r>
      <w:r w:rsidR="000C7CC6" w:rsidRPr="00D0353E">
        <w:rPr>
          <w:rFonts w:eastAsia="Calibri" w:cstheme="minorHAnsi"/>
          <w:spacing w:val="-1"/>
        </w:rPr>
        <w:t xml:space="preserve"> </w:t>
      </w:r>
      <w:r w:rsidR="000C7CC6" w:rsidRPr="00D0353E">
        <w:rPr>
          <w:rFonts w:cstheme="minorHAnsi"/>
          <w:color w:val="333333"/>
        </w:rPr>
        <w:t>An event that is expected in that it has been addressed or described in one or more of the following: Informed consent document(s) for this study, IRB application for this study, grant application or study agreement, protocol or procedures for this study, investigators' brochure or equivalent (for FDA regulated drugs or devices), DSMB Reports, published literature, other documentation, or characteristics of the study population</w:t>
      </w:r>
      <w:r w:rsidR="001013E5">
        <w:rPr>
          <w:rFonts w:cstheme="minorHAnsi"/>
          <w:color w:val="333333"/>
        </w:rPr>
        <w:t>.</w:t>
      </w:r>
      <w:r w:rsidR="000C7CC6" w:rsidRPr="00D0353E">
        <w:rPr>
          <w:rFonts w:cstheme="minorHAnsi"/>
          <w:color w:val="333333"/>
        </w:rPr>
        <w:t xml:space="preserve"> </w:t>
      </w:r>
    </w:p>
    <w:p w14:paraId="3B76CC52" w14:textId="77777777" w:rsidR="006369F0" w:rsidRDefault="006369F0" w:rsidP="00173AC5">
      <w:pPr>
        <w:spacing w:after="0" w:line="240" w:lineRule="auto"/>
        <w:ind w:left="360"/>
        <w:rPr>
          <w:rStyle w:val="SubtleEmphasis"/>
          <w:i w:val="0"/>
          <w:color w:val="auto"/>
        </w:rPr>
      </w:pPr>
    </w:p>
    <w:p w14:paraId="52663998" w14:textId="77777777" w:rsidR="0057505D" w:rsidRPr="004C4793" w:rsidRDefault="00340171" w:rsidP="0057505D">
      <w:pPr>
        <w:pStyle w:val="ListParagraph"/>
        <w:ind w:left="360" w:right="720"/>
      </w:pPr>
      <w:r w:rsidRPr="004C4793">
        <w:t xml:space="preserve">INSTITUTIONAL REVIEW BOARD (IRB): </w:t>
      </w:r>
    </w:p>
    <w:p w14:paraId="127837D2" w14:textId="23CD3685" w:rsidR="0057505D" w:rsidRPr="004C4793" w:rsidRDefault="0057505D" w:rsidP="0057505D">
      <w:pPr>
        <w:pStyle w:val="ListParagraph"/>
        <w:spacing w:after="0" w:line="240" w:lineRule="auto"/>
        <w:ind w:left="360" w:right="720"/>
      </w:pPr>
      <w:r w:rsidRPr="004C4793">
        <w:t>An independent body constituted of medical, scientific, and non-scientific members that is responsible for ensuring the protection of the rights, safety, and well-being of human subjects involved in a trial by, among other things, reviewing, approving, and providing continuing review of trial protocol and amendments and of the methods and material to be used in obtaining and documenting informed consent of the trial subjects (ICH-GCP R2 definition)</w:t>
      </w:r>
    </w:p>
    <w:p w14:paraId="70AC9870" w14:textId="77777777" w:rsidR="00340171" w:rsidRPr="004C4793" w:rsidRDefault="00340171" w:rsidP="00173AC5">
      <w:pPr>
        <w:spacing w:after="0" w:line="240" w:lineRule="auto"/>
        <w:ind w:left="360"/>
        <w:rPr>
          <w:rStyle w:val="Strong"/>
          <w:rFonts w:cstheme="minorHAnsi"/>
          <w:b w:val="0"/>
          <w:color w:val="333333"/>
        </w:rPr>
      </w:pPr>
    </w:p>
    <w:p w14:paraId="2BD7F54C" w14:textId="77777777" w:rsidR="00E814A2" w:rsidRPr="004C4793" w:rsidRDefault="00597F87" w:rsidP="00E814A2">
      <w:pPr>
        <w:pStyle w:val="ListParagraph"/>
        <w:ind w:left="360" w:right="720"/>
      </w:pPr>
      <w:r w:rsidRPr="004C4793">
        <w:t xml:space="preserve">INVESTIGATIONAL DEVICE EXEMPTION (IDE): </w:t>
      </w:r>
    </w:p>
    <w:p w14:paraId="672F3DC2" w14:textId="77777777" w:rsidR="00E814A2" w:rsidRPr="00CE20F4" w:rsidRDefault="00E814A2" w:rsidP="00E814A2">
      <w:pPr>
        <w:pStyle w:val="ListParagraph"/>
        <w:spacing w:after="0" w:line="240" w:lineRule="auto"/>
        <w:ind w:left="360" w:right="720"/>
      </w:pPr>
      <w:r w:rsidRPr="004C4793">
        <w:t>Approval by FDA for investigational device exemption (IDE) permits a device that otherwise would be required to comply with a performance standard or to have premarket approval to be shipped lawfully across state and international boundaries for the purpose of conducting investigations of that device. (FDA 21CRF812)</w:t>
      </w:r>
    </w:p>
    <w:p w14:paraId="5B0561F4" w14:textId="77777777" w:rsidR="006E4003" w:rsidRDefault="006E4003" w:rsidP="00597F87">
      <w:pPr>
        <w:pStyle w:val="ListParagraph"/>
        <w:spacing w:after="0" w:line="240" w:lineRule="auto"/>
        <w:ind w:left="360" w:right="720"/>
        <w:rPr>
          <w:rFonts w:ascii="Calibri" w:hAnsi="Calibri" w:cs="Calibri"/>
          <w:color w:val="333333"/>
        </w:rPr>
      </w:pPr>
    </w:p>
    <w:p w14:paraId="4841AD78" w14:textId="77777777" w:rsidR="00046333" w:rsidRPr="00046333" w:rsidRDefault="007D431E" w:rsidP="004C4793">
      <w:pPr>
        <w:spacing w:after="0" w:line="240" w:lineRule="auto"/>
        <w:ind w:left="360" w:right="720"/>
      </w:pPr>
      <w:r w:rsidRPr="00046333">
        <w:rPr>
          <w:color w:val="333333"/>
          <w:lang w:val="en"/>
        </w:rPr>
        <w:t>INVESTIGATIONAL NEW DRUG</w:t>
      </w:r>
      <w:r w:rsidR="00AC50DF" w:rsidRPr="00046333">
        <w:rPr>
          <w:color w:val="333333"/>
          <w:lang w:val="en"/>
        </w:rPr>
        <w:t xml:space="preserve"> APPLICATION</w:t>
      </w:r>
      <w:r w:rsidRPr="00046333">
        <w:rPr>
          <w:color w:val="333333"/>
          <w:lang w:val="en"/>
        </w:rPr>
        <w:t xml:space="preserve"> (IND): </w:t>
      </w:r>
      <w:r w:rsidR="00046333" w:rsidRPr="004C4793">
        <w:t>a new drug or biological drug that is used in a clinical investigation. The term also includes a biological product that is used in vitro for diagnostic purposes. The terms “investigational drug” and “investigational new drug” are deemed to be synonymous for purposes of this part.</w:t>
      </w:r>
    </w:p>
    <w:p w14:paraId="1AA8B93A" w14:textId="77777777" w:rsidR="00046333" w:rsidRPr="00046333" w:rsidRDefault="00046333" w:rsidP="00046333">
      <w:pPr>
        <w:pStyle w:val="ListParagraph"/>
        <w:spacing w:after="0" w:line="240" w:lineRule="auto"/>
        <w:ind w:left="360" w:right="720"/>
      </w:pPr>
    </w:p>
    <w:p w14:paraId="55D6975F" w14:textId="77777777" w:rsidR="00046333" w:rsidRDefault="00046333" w:rsidP="00046333">
      <w:pPr>
        <w:pStyle w:val="ListParagraph"/>
        <w:spacing w:after="0" w:line="240" w:lineRule="auto"/>
        <w:ind w:left="360" w:right="720"/>
      </w:pPr>
      <w:r w:rsidRPr="004C4793">
        <w:rPr>
          <w:rStyle w:val="Emphasis"/>
        </w:rPr>
        <w:t>IND</w:t>
      </w:r>
      <w:r w:rsidRPr="004C4793">
        <w:t xml:space="preserve"> means an investigational new drug application. For purposes of this part, “IND” is synonymous with “Notice of Claimed Investigational Exemption for a New Drug.”</w:t>
      </w:r>
      <w:r w:rsidRPr="00046333">
        <w:t xml:space="preserve">  (FDA part 312)</w:t>
      </w:r>
    </w:p>
    <w:p w14:paraId="45B261E5" w14:textId="77777777" w:rsidR="00046333" w:rsidRDefault="00046333" w:rsidP="004C4793">
      <w:pPr>
        <w:spacing w:after="0" w:line="240" w:lineRule="auto"/>
        <w:rPr>
          <w:color w:val="333333"/>
          <w:lang w:val="en"/>
        </w:rPr>
      </w:pPr>
    </w:p>
    <w:p w14:paraId="34E81D41" w14:textId="77777777" w:rsidR="00767DBD" w:rsidRPr="004C4793" w:rsidRDefault="00D56B09" w:rsidP="00767DBD">
      <w:pPr>
        <w:spacing w:after="0" w:line="240" w:lineRule="auto"/>
        <w:ind w:left="360"/>
        <w:rPr>
          <w:color w:val="333333"/>
          <w:lang w:val="en"/>
        </w:rPr>
      </w:pPr>
      <w:r w:rsidRPr="004C4793">
        <w:rPr>
          <w:color w:val="333333"/>
          <w:lang w:val="en"/>
        </w:rPr>
        <w:t>INVESTIGATOR</w:t>
      </w:r>
      <w:r w:rsidR="00267240" w:rsidRPr="004C4793">
        <w:rPr>
          <w:rFonts w:ascii="Times New Roman" w:hAnsi="Times New Roman" w:cs="Times New Roman"/>
          <w:sz w:val="24"/>
          <w:szCs w:val="24"/>
        </w:rPr>
        <w:t>'</w:t>
      </w:r>
      <w:r w:rsidR="00267240" w:rsidRPr="004C4793">
        <w:rPr>
          <w:color w:val="333333"/>
          <w:lang w:val="en"/>
        </w:rPr>
        <w:t>S</w:t>
      </w:r>
      <w:r w:rsidRPr="004C4793">
        <w:rPr>
          <w:color w:val="333333"/>
          <w:lang w:val="en"/>
        </w:rPr>
        <w:t xml:space="preserve"> BROCHURE (IB): </w:t>
      </w:r>
      <w:r w:rsidR="00767DBD" w:rsidRPr="004C4793">
        <w:rPr>
          <w:color w:val="333333"/>
          <w:lang w:val="en"/>
        </w:rPr>
        <w:t>The Investigator's Brochure is a compilation of the clinical and nonclinical data on the investigational product(s) that are relevant to the study of the product(s) in human subjects. Its purpose is to provide the investigators and others involved in the trial with</w:t>
      </w:r>
      <w:r w:rsidR="00767DBD" w:rsidRPr="004C4793">
        <w:t xml:space="preserve"> </w:t>
      </w:r>
      <w:r w:rsidR="00767DBD" w:rsidRPr="004C4793">
        <w:rPr>
          <w:color w:val="333333"/>
          <w:lang w:val="en"/>
        </w:rPr>
        <w:t>the information to facilitate their understanding of the rationale for, and their compliance</w:t>
      </w:r>
    </w:p>
    <w:p w14:paraId="47B72147" w14:textId="77777777" w:rsidR="00767DBD" w:rsidRPr="004C4793" w:rsidRDefault="00767DBD" w:rsidP="00767DBD">
      <w:pPr>
        <w:spacing w:after="0" w:line="240" w:lineRule="auto"/>
        <w:ind w:left="360"/>
        <w:rPr>
          <w:color w:val="333333"/>
          <w:lang w:val="en"/>
        </w:rPr>
      </w:pPr>
      <w:r w:rsidRPr="004C4793">
        <w:rPr>
          <w:color w:val="333333"/>
          <w:lang w:val="en"/>
        </w:rPr>
        <w:t>with, many key features of the protocol, such as the dose, dose frequency/interval,</w:t>
      </w:r>
    </w:p>
    <w:p w14:paraId="438AFD56" w14:textId="4BE320F0" w:rsidR="00767DBD" w:rsidRPr="004C4793" w:rsidRDefault="00767DBD" w:rsidP="00767DBD">
      <w:pPr>
        <w:spacing w:after="0" w:line="240" w:lineRule="auto"/>
        <w:ind w:left="360"/>
        <w:rPr>
          <w:color w:val="333333"/>
          <w:lang w:val="en"/>
        </w:rPr>
      </w:pPr>
      <w:r w:rsidRPr="004C4793">
        <w:rPr>
          <w:color w:val="333333"/>
          <w:lang w:val="en"/>
        </w:rPr>
        <w:t>methods of administration, and safety monitoring procedures. (ICH-GCP R2 definition)</w:t>
      </w:r>
    </w:p>
    <w:p w14:paraId="2EA96F6D" w14:textId="77777777" w:rsidR="009F406C" w:rsidRPr="004C4793" w:rsidRDefault="009F406C" w:rsidP="00767DBD">
      <w:pPr>
        <w:spacing w:after="0" w:line="240" w:lineRule="auto"/>
        <w:ind w:left="360"/>
        <w:rPr>
          <w:color w:val="333333"/>
          <w:lang w:val="en"/>
        </w:rPr>
      </w:pPr>
    </w:p>
    <w:p w14:paraId="2BB7A67D" w14:textId="37CC5208" w:rsidR="0075088C" w:rsidRDefault="009F406C" w:rsidP="0075088C">
      <w:pPr>
        <w:pStyle w:val="ListParagraph"/>
        <w:spacing w:after="0" w:line="240" w:lineRule="auto"/>
        <w:ind w:left="360" w:right="720"/>
      </w:pPr>
      <w:r w:rsidRPr="004C4793">
        <w:rPr>
          <w:color w:val="333333"/>
          <w:lang w:val="en"/>
        </w:rPr>
        <w:t xml:space="preserve">INTERNATIONAL COUNCIL ON HARMONISATION (ICH): </w:t>
      </w:r>
      <w:r w:rsidR="0075088C" w:rsidRPr="004C4793">
        <w:t xml:space="preserve">A joint initiative involving both regulators and research-based industry representatives of the European Union, </w:t>
      </w:r>
      <w:r w:rsidR="00812903" w:rsidRPr="004C4793">
        <w:t>Japan,</w:t>
      </w:r>
      <w:r w:rsidR="0075088C" w:rsidRPr="004C4793">
        <w:t xml:space="preserve"> and the USA in scientific and technical discussions of the testing procedures required to assess and ensure the safety, </w:t>
      </w:r>
      <w:proofErr w:type="gramStart"/>
      <w:r w:rsidR="0075088C" w:rsidRPr="004C4793">
        <w:t>quality</w:t>
      </w:r>
      <w:proofErr w:type="gramEnd"/>
      <w:r w:rsidR="0075088C" w:rsidRPr="004C4793">
        <w:t xml:space="preserve"> and efficacy of medicines</w:t>
      </w:r>
      <w:r w:rsidR="0075088C" w:rsidRPr="00A12BB2">
        <w:t xml:space="preserve"> </w:t>
      </w:r>
    </w:p>
    <w:p w14:paraId="246C45FD" w14:textId="77777777" w:rsidR="004876E9" w:rsidRDefault="004876E9" w:rsidP="00173AC5">
      <w:pPr>
        <w:spacing w:after="0" w:line="240" w:lineRule="auto"/>
        <w:ind w:left="360"/>
        <w:rPr>
          <w:color w:val="333333"/>
          <w:lang w:val="en"/>
        </w:rPr>
      </w:pPr>
    </w:p>
    <w:p w14:paraId="67965AAA" w14:textId="18AAEED3" w:rsidR="001013E5" w:rsidRDefault="001013E5" w:rsidP="00173AC5">
      <w:pPr>
        <w:spacing w:after="0" w:line="240" w:lineRule="auto"/>
        <w:ind w:left="360"/>
        <w:rPr>
          <w:color w:val="333333"/>
          <w:lang w:val="en"/>
        </w:rPr>
      </w:pPr>
      <w:r>
        <w:rPr>
          <w:color w:val="333333"/>
          <w:lang w:val="en"/>
        </w:rPr>
        <w:t>LIFE-THREATENING ADVERSE EVENT: An adverse event is considered “life-threatening” if, in the view of either the investigator or sponsor, its occurrence places the patients or subject at immediate risk of death. It does not include an adverse event that, had it occurred in a more severe form, might have caused death.</w:t>
      </w:r>
    </w:p>
    <w:p w14:paraId="29559167" w14:textId="77777777" w:rsidR="001013E5" w:rsidRPr="007D431E" w:rsidRDefault="001013E5" w:rsidP="00173AC5">
      <w:pPr>
        <w:spacing w:after="0" w:line="240" w:lineRule="auto"/>
        <w:ind w:left="360"/>
        <w:rPr>
          <w:color w:val="333333"/>
          <w:lang w:val="en"/>
        </w:rPr>
      </w:pPr>
    </w:p>
    <w:p w14:paraId="2029EAC9" w14:textId="2850B20D" w:rsidR="006F114C" w:rsidRPr="006F114C" w:rsidRDefault="00B66A66" w:rsidP="00C66B9D">
      <w:pPr>
        <w:autoSpaceDE w:val="0"/>
        <w:autoSpaceDN w:val="0"/>
        <w:adjustRightInd w:val="0"/>
        <w:spacing w:after="0" w:line="240" w:lineRule="auto"/>
        <w:ind w:left="360"/>
        <w:rPr>
          <w:rFonts w:cstheme="minorHAnsi"/>
          <w:color w:val="000000"/>
        </w:rPr>
      </w:pPr>
      <w:r w:rsidRPr="00AF6830">
        <w:rPr>
          <w:rStyle w:val="SubtleEmphasis"/>
          <w:rFonts w:cstheme="minorHAnsi"/>
          <w:i w:val="0"/>
          <w:color w:val="auto"/>
        </w:rPr>
        <w:t>MEDWATCH FORM</w:t>
      </w:r>
      <w:r w:rsidR="00AF6830">
        <w:rPr>
          <w:rStyle w:val="SubtleEmphasis"/>
          <w:rFonts w:cstheme="minorHAnsi"/>
          <w:i w:val="0"/>
          <w:color w:val="auto"/>
        </w:rPr>
        <w:t xml:space="preserve"> </w:t>
      </w:r>
      <w:r w:rsidR="00AF6830" w:rsidRPr="00AF6830">
        <w:rPr>
          <w:rStyle w:val="SubtleEmphasis"/>
          <w:rFonts w:cstheme="minorHAnsi"/>
          <w:i w:val="0"/>
          <w:color w:val="auto"/>
        </w:rPr>
        <w:t>3500A</w:t>
      </w:r>
      <w:r w:rsidRPr="00AF6830">
        <w:rPr>
          <w:rStyle w:val="SubtleEmphasis"/>
          <w:rFonts w:cstheme="minorHAnsi"/>
          <w:i w:val="0"/>
          <w:color w:val="auto"/>
        </w:rPr>
        <w:t xml:space="preserve">: </w:t>
      </w:r>
      <w:r w:rsidR="00EC26B8" w:rsidRPr="00AF6830">
        <w:rPr>
          <w:rStyle w:val="Emphasis"/>
          <w:rFonts w:cstheme="minorHAnsi"/>
          <w:bCs/>
          <w:i w:val="0"/>
          <w:color w:val="333333"/>
          <w:lang w:val="en"/>
        </w:rPr>
        <w:t>FDA Form</w:t>
      </w:r>
      <w:r w:rsidR="007A6D02" w:rsidRPr="00AF6830">
        <w:rPr>
          <w:rStyle w:val="Emphasis"/>
          <w:rFonts w:cstheme="minorHAnsi"/>
          <w:bCs/>
          <w:i w:val="0"/>
          <w:color w:val="333333"/>
          <w:lang w:val="en"/>
        </w:rPr>
        <w:t xml:space="preserve"> for clinically important safety information and reporting serious problems with human medical products</w:t>
      </w:r>
      <w:r w:rsidR="00375F6D">
        <w:rPr>
          <w:rStyle w:val="Emphasis"/>
          <w:rFonts w:cstheme="minorHAnsi"/>
          <w:bCs/>
          <w:i w:val="0"/>
          <w:color w:val="333333"/>
          <w:lang w:val="en"/>
        </w:rPr>
        <w:t>.</w:t>
      </w:r>
    </w:p>
    <w:p w14:paraId="5D2EB234" w14:textId="77777777" w:rsidR="00B67AF7" w:rsidRDefault="00B67AF7" w:rsidP="00173AC5">
      <w:pPr>
        <w:autoSpaceDE w:val="0"/>
        <w:autoSpaceDN w:val="0"/>
        <w:adjustRightInd w:val="0"/>
        <w:spacing w:after="0" w:line="240" w:lineRule="auto"/>
        <w:ind w:left="360"/>
        <w:rPr>
          <w:rFonts w:cstheme="minorHAnsi"/>
          <w:color w:val="000000"/>
        </w:rPr>
      </w:pPr>
    </w:p>
    <w:p w14:paraId="4AF1830C" w14:textId="259017A5" w:rsidR="00B06676" w:rsidRDefault="00B66A66" w:rsidP="00173AC5">
      <w:pPr>
        <w:tabs>
          <w:tab w:val="left" w:pos="3870"/>
        </w:tabs>
        <w:spacing w:after="0" w:line="240" w:lineRule="auto"/>
        <w:ind w:left="360"/>
        <w:rPr>
          <w:rFonts w:ascii="Calibri" w:eastAsia="Calibri" w:hAnsi="Calibri" w:cs="Calibri"/>
          <w:spacing w:val="-1"/>
        </w:rPr>
      </w:pPr>
      <w:r>
        <w:rPr>
          <w:rFonts w:ascii="Calibri" w:eastAsia="Calibri" w:hAnsi="Calibri" w:cs="Calibri"/>
          <w:spacing w:val="-1"/>
        </w:rPr>
        <w:t>RELATED ADVERSE EVENT</w:t>
      </w:r>
      <w:r w:rsidR="00CB7C61">
        <w:rPr>
          <w:rFonts w:ascii="Calibri" w:eastAsia="Calibri" w:hAnsi="Calibri" w:cs="Calibri"/>
          <w:spacing w:val="-1"/>
        </w:rPr>
        <w:t xml:space="preserve">: </w:t>
      </w:r>
      <w:r w:rsidR="00CE171C">
        <w:rPr>
          <w:rFonts w:ascii="Calibri" w:eastAsia="Calibri" w:hAnsi="Calibri" w:cs="Calibri"/>
          <w:spacing w:val="-1"/>
        </w:rPr>
        <w:t>An</w:t>
      </w:r>
      <w:r w:rsidR="00F22F37">
        <w:rPr>
          <w:rFonts w:ascii="Calibri" w:eastAsia="Calibri" w:hAnsi="Calibri" w:cs="Calibri"/>
          <w:spacing w:val="-1"/>
        </w:rPr>
        <w:t xml:space="preserve"> </w:t>
      </w:r>
      <w:r w:rsidR="00A0123B">
        <w:rPr>
          <w:rFonts w:ascii="Calibri" w:eastAsia="Calibri" w:hAnsi="Calibri" w:cs="Calibri"/>
          <w:spacing w:val="-1"/>
        </w:rPr>
        <w:t>Adverse Event</w:t>
      </w:r>
      <w:r w:rsidR="00CE171C">
        <w:rPr>
          <w:rFonts w:ascii="Calibri" w:eastAsia="Calibri" w:hAnsi="Calibri" w:cs="Calibri"/>
          <w:spacing w:val="-1"/>
        </w:rPr>
        <w:t xml:space="preserve"> believed to be</w:t>
      </w:r>
      <w:r w:rsidR="00A0123B">
        <w:rPr>
          <w:rFonts w:ascii="Calibri" w:eastAsia="Calibri" w:hAnsi="Calibri" w:cs="Calibri"/>
          <w:spacing w:val="-1"/>
        </w:rPr>
        <w:t xml:space="preserve"> caused by a procedure, drug, biologic or device used in the </w:t>
      </w:r>
      <w:r w:rsidR="00AC1998">
        <w:rPr>
          <w:rFonts w:ascii="Calibri" w:eastAsia="Calibri" w:hAnsi="Calibri" w:cs="Calibri"/>
          <w:spacing w:val="-1"/>
        </w:rPr>
        <w:t>clinical trial</w:t>
      </w:r>
      <w:r w:rsidR="00375F6D">
        <w:rPr>
          <w:rFonts w:ascii="Calibri" w:eastAsia="Calibri" w:hAnsi="Calibri" w:cs="Calibri"/>
          <w:spacing w:val="-1"/>
        </w:rPr>
        <w:t>.</w:t>
      </w:r>
    </w:p>
    <w:p w14:paraId="5C1BEF1B" w14:textId="77777777" w:rsidR="00AA666C" w:rsidRDefault="00AA666C" w:rsidP="00173AC5">
      <w:pPr>
        <w:tabs>
          <w:tab w:val="left" w:pos="3870"/>
        </w:tabs>
        <w:spacing w:after="0" w:line="240" w:lineRule="auto"/>
        <w:ind w:left="360"/>
        <w:rPr>
          <w:rFonts w:ascii="Calibri" w:eastAsia="Calibri" w:hAnsi="Calibri" w:cs="Calibri"/>
          <w:spacing w:val="-1"/>
        </w:rPr>
      </w:pPr>
    </w:p>
    <w:p w14:paraId="77B1C307" w14:textId="3473CE94" w:rsidR="008955BD" w:rsidRPr="00AC4186" w:rsidRDefault="00B66A66">
      <w:pPr>
        <w:pStyle w:val="Default"/>
        <w:ind w:left="360"/>
      </w:pPr>
      <w:r>
        <w:rPr>
          <w:rFonts w:asciiTheme="minorHAnsi" w:eastAsia="Calibri" w:hAnsiTheme="minorHAnsi" w:cstheme="minorHAnsi"/>
          <w:spacing w:val="-1"/>
          <w:sz w:val="22"/>
          <w:szCs w:val="22"/>
        </w:rPr>
        <w:t>SERIOUS ADVERSE EVENT</w:t>
      </w:r>
      <w:r w:rsidR="004339A0">
        <w:rPr>
          <w:rFonts w:asciiTheme="minorHAnsi" w:eastAsia="Calibri" w:hAnsiTheme="minorHAnsi" w:cstheme="minorHAnsi"/>
          <w:spacing w:val="-1"/>
          <w:sz w:val="22"/>
          <w:szCs w:val="22"/>
        </w:rPr>
        <w:t xml:space="preserve"> </w:t>
      </w:r>
      <w:r w:rsidR="00B95B3E">
        <w:rPr>
          <w:rFonts w:asciiTheme="minorHAnsi" w:eastAsia="Calibri" w:hAnsiTheme="minorHAnsi" w:cstheme="minorHAnsi"/>
          <w:spacing w:val="-1"/>
          <w:sz w:val="22"/>
          <w:szCs w:val="22"/>
        </w:rPr>
        <w:t>(SAE)</w:t>
      </w:r>
      <w:r>
        <w:rPr>
          <w:rFonts w:asciiTheme="minorHAnsi" w:eastAsia="Calibri" w:hAnsiTheme="minorHAnsi" w:cstheme="minorHAnsi"/>
          <w:spacing w:val="-1"/>
          <w:sz w:val="22"/>
          <w:szCs w:val="22"/>
        </w:rPr>
        <w:t xml:space="preserve">: </w:t>
      </w:r>
      <w:r w:rsidR="00BF7ABA" w:rsidRPr="00BF7ABA">
        <w:rPr>
          <w:rFonts w:asciiTheme="minorHAnsi" w:hAnsiTheme="minorHAnsi" w:cstheme="minorHAnsi"/>
          <w:sz w:val="22"/>
          <w:szCs w:val="22"/>
        </w:rPr>
        <w:t xml:space="preserve">Any adverse experience occurring at any dose or level of participation that results in any of the following outcomes: death, a life-threatening experience, </w:t>
      </w:r>
      <w:r w:rsidR="00812903" w:rsidRPr="00BF7ABA">
        <w:rPr>
          <w:rFonts w:asciiTheme="minorHAnsi" w:hAnsiTheme="minorHAnsi" w:cstheme="minorHAnsi"/>
          <w:sz w:val="22"/>
          <w:szCs w:val="22"/>
        </w:rPr>
        <w:t>hospitalization,</w:t>
      </w:r>
      <w:r w:rsidR="00BF7ABA" w:rsidRPr="00BF7ABA">
        <w:rPr>
          <w:rFonts w:asciiTheme="minorHAnsi" w:hAnsiTheme="minorHAnsi" w:cstheme="minorHAnsi"/>
          <w:sz w:val="22"/>
          <w:szCs w:val="22"/>
        </w:rPr>
        <w:t xml:space="preserve"> or prolongation of existing hospitalization, a persistent or significant disability or capacity, or a congenital anomaly or birth defect.</w:t>
      </w:r>
      <w:r w:rsidR="008955BD">
        <w:rPr>
          <w:rFonts w:asciiTheme="minorHAnsi" w:hAnsiTheme="minorHAnsi" w:cstheme="minorHAnsi"/>
          <w:sz w:val="22"/>
          <w:szCs w:val="22"/>
        </w:rPr>
        <w:t xml:space="preserve"> </w:t>
      </w:r>
    </w:p>
    <w:p w14:paraId="74DE750F" w14:textId="77777777" w:rsidR="00E7646F" w:rsidRPr="00A0123B" w:rsidRDefault="00E7646F" w:rsidP="00173AC5">
      <w:pPr>
        <w:spacing w:after="0" w:line="240" w:lineRule="auto"/>
        <w:ind w:left="360"/>
        <w:rPr>
          <w:rFonts w:ascii="Calibri" w:eastAsia="Calibri" w:hAnsi="Calibri" w:cs="Calibri"/>
          <w:spacing w:val="-1"/>
        </w:rPr>
      </w:pPr>
    </w:p>
    <w:p w14:paraId="68EBAAFF" w14:textId="0B673403" w:rsidR="00B67AF7" w:rsidRDefault="00B66A66" w:rsidP="00173AC5">
      <w:pPr>
        <w:pStyle w:val="CommentText"/>
        <w:spacing w:after="0"/>
        <w:ind w:left="360"/>
        <w:rPr>
          <w:rFonts w:cstheme="minorHAnsi"/>
          <w:sz w:val="22"/>
          <w:szCs w:val="22"/>
        </w:rPr>
      </w:pPr>
      <w:r>
        <w:rPr>
          <w:rFonts w:cstheme="minorHAnsi"/>
          <w:sz w:val="22"/>
          <w:szCs w:val="22"/>
        </w:rPr>
        <w:t>SEVERITY OF AE</w:t>
      </w:r>
      <w:r w:rsidRPr="00F15444">
        <w:rPr>
          <w:rFonts w:cstheme="minorHAnsi"/>
          <w:sz w:val="22"/>
          <w:szCs w:val="22"/>
        </w:rPr>
        <w:t xml:space="preserve">: </w:t>
      </w:r>
      <w:r w:rsidR="00B67AF7" w:rsidRPr="00F15444">
        <w:rPr>
          <w:rFonts w:cstheme="minorHAnsi"/>
          <w:color w:val="333333"/>
          <w:sz w:val="22"/>
          <w:szCs w:val="22"/>
        </w:rPr>
        <w:t>An assessment regarding the intensity of an Adverse Event (rating the event mild, moderately severe, se</w:t>
      </w:r>
      <w:r w:rsidR="0087241A">
        <w:rPr>
          <w:rFonts w:cstheme="minorHAnsi"/>
          <w:color w:val="333333"/>
          <w:sz w:val="22"/>
          <w:szCs w:val="22"/>
        </w:rPr>
        <w:t>vere, life threatening or fatal</w:t>
      </w:r>
      <w:r w:rsidR="00B67AF7" w:rsidRPr="00F15444">
        <w:rPr>
          <w:rFonts w:cstheme="minorHAnsi"/>
          <w:color w:val="333333"/>
          <w:sz w:val="22"/>
          <w:szCs w:val="22"/>
        </w:rPr>
        <w:t>).</w:t>
      </w:r>
      <w:r w:rsidR="00476996">
        <w:rPr>
          <w:rFonts w:cstheme="minorHAnsi"/>
          <w:color w:val="333333"/>
          <w:sz w:val="22"/>
          <w:szCs w:val="22"/>
        </w:rPr>
        <w:t xml:space="preserve"> </w:t>
      </w:r>
      <w:r w:rsidR="00B67AF7" w:rsidRPr="00B8480C">
        <w:rPr>
          <w:rFonts w:cstheme="minorHAnsi"/>
          <w:sz w:val="22"/>
          <w:szCs w:val="22"/>
        </w:rPr>
        <w:t>Severity is independent of seriousness assessments</w:t>
      </w:r>
      <w:r w:rsidR="00BA3842">
        <w:rPr>
          <w:rFonts w:cstheme="minorHAnsi"/>
          <w:sz w:val="22"/>
          <w:szCs w:val="22"/>
        </w:rPr>
        <w:t>.</w:t>
      </w:r>
    </w:p>
    <w:p w14:paraId="2C585C1C" w14:textId="77777777" w:rsidR="00173AC5" w:rsidRPr="008D5E59" w:rsidRDefault="00173AC5" w:rsidP="00173AC5">
      <w:pPr>
        <w:pStyle w:val="CommentText"/>
        <w:spacing w:after="0"/>
        <w:ind w:left="360"/>
        <w:rPr>
          <w:sz w:val="22"/>
          <w:szCs w:val="22"/>
        </w:rPr>
      </w:pPr>
    </w:p>
    <w:p w14:paraId="21385E24" w14:textId="418612C9" w:rsidR="008E7DA8" w:rsidRDefault="00DE2804" w:rsidP="00173AC5">
      <w:pPr>
        <w:spacing w:after="0" w:line="240" w:lineRule="auto"/>
        <w:ind w:left="360"/>
      </w:pPr>
      <w:r>
        <w:rPr>
          <w:rFonts w:cstheme="minorHAnsi"/>
        </w:rPr>
        <w:t xml:space="preserve">SPONSOR: </w:t>
      </w:r>
      <w:r w:rsidR="007E6782">
        <w:t>An individual, company, institution, or organization which takes responsibility for the initiation, management, and/or financing of a clinical trial</w:t>
      </w:r>
      <w:r w:rsidR="00375F6D">
        <w:t>.</w:t>
      </w:r>
      <w:r w:rsidR="007E6782">
        <w:t xml:space="preserve"> </w:t>
      </w:r>
    </w:p>
    <w:p w14:paraId="3CC99BAC" w14:textId="77777777" w:rsidR="009F5C4A" w:rsidRDefault="009F5C4A" w:rsidP="00173AC5">
      <w:pPr>
        <w:spacing w:after="0" w:line="240" w:lineRule="auto"/>
        <w:ind w:left="360"/>
      </w:pPr>
    </w:p>
    <w:p w14:paraId="1D65EECD" w14:textId="2FCE47A1" w:rsidR="009F5C4A" w:rsidRDefault="009F5C4A" w:rsidP="00173AC5">
      <w:pPr>
        <w:spacing w:after="0" w:line="240" w:lineRule="auto"/>
        <w:ind w:left="360"/>
      </w:pPr>
      <w:r w:rsidRPr="009F5C4A">
        <w:t>SPONSOR-INVESTIGATOR: An individual who both initiates and conducts, alone or with others, a clinical trial, and under whose immediate direction the investigational product is administered to, dispensed to, or used by a subject</w:t>
      </w:r>
      <w:r w:rsidR="00375F6D">
        <w:t>.</w:t>
      </w:r>
      <w:r w:rsidR="008F3E5C" w:rsidRPr="008F3E5C">
        <w:rPr>
          <w:color w:val="333333"/>
          <w:lang w:val="en"/>
        </w:rPr>
        <w:t xml:space="preserve"> </w:t>
      </w:r>
      <w:r w:rsidR="008F3E5C">
        <w:rPr>
          <w:color w:val="333333"/>
          <w:lang w:val="en"/>
        </w:rPr>
        <w:t>(ICH-GCP R2 definition)</w:t>
      </w:r>
    </w:p>
    <w:p w14:paraId="06F7CFE9" w14:textId="77777777" w:rsidR="00AF3BE3" w:rsidRDefault="00AF3BE3" w:rsidP="00173AC5">
      <w:pPr>
        <w:spacing w:after="0" w:line="240" w:lineRule="auto"/>
        <w:ind w:left="360"/>
      </w:pPr>
    </w:p>
    <w:p w14:paraId="66380D7B" w14:textId="32618655" w:rsidR="001013E5" w:rsidRDefault="001013E5" w:rsidP="001013E5">
      <w:pPr>
        <w:spacing w:after="0" w:line="240" w:lineRule="auto"/>
        <w:ind w:left="360"/>
        <w:rPr>
          <w:rFonts w:cstheme="minorHAnsi"/>
        </w:rPr>
      </w:pPr>
      <w:r>
        <w:rPr>
          <w:rFonts w:cstheme="minorHAnsi"/>
        </w:rPr>
        <w:t>SU</w:t>
      </w:r>
      <w:r w:rsidR="001531A6">
        <w:rPr>
          <w:rFonts w:cstheme="minorHAnsi"/>
        </w:rPr>
        <w:t>S</w:t>
      </w:r>
      <w:r>
        <w:rPr>
          <w:rFonts w:cstheme="minorHAnsi"/>
        </w:rPr>
        <w:t xml:space="preserve">PECTED ADVERSE REACTION (SUSAR) (21 </w:t>
      </w:r>
      <w:r w:rsidR="00097479">
        <w:rPr>
          <w:rFonts w:cstheme="minorHAnsi"/>
        </w:rPr>
        <w:t>CFR 312.32 (a)): A</w:t>
      </w:r>
      <w:r>
        <w:rPr>
          <w:rFonts w:cstheme="minorHAnsi"/>
        </w:rPr>
        <w:t>ny adverse event for which there is a reasonable possibility that the drug ca</w:t>
      </w:r>
      <w:r w:rsidR="001956F1">
        <w:rPr>
          <w:rFonts w:cstheme="minorHAnsi"/>
        </w:rPr>
        <w:t>us</w:t>
      </w:r>
      <w:r>
        <w:rPr>
          <w:rFonts w:cstheme="minorHAnsi"/>
        </w:rPr>
        <w:t>ed the adverse event. For the purposes of IND safet</w:t>
      </w:r>
      <w:r w:rsidR="001956F1">
        <w:rPr>
          <w:rFonts w:cstheme="minorHAnsi"/>
        </w:rPr>
        <w:t>y</w:t>
      </w:r>
      <w:r>
        <w:rPr>
          <w:rFonts w:cstheme="minorHAnsi"/>
        </w:rPr>
        <w:t xml:space="preserve"> reporting, ‘reasonable possibility’ means there is evidence to suggest a causal relationship between the drug and the adverse event.</w:t>
      </w:r>
    </w:p>
    <w:p w14:paraId="6EE88C79" w14:textId="77777777" w:rsidR="001013E5" w:rsidRDefault="001013E5" w:rsidP="00173AC5">
      <w:pPr>
        <w:spacing w:after="0" w:line="240" w:lineRule="auto"/>
        <w:ind w:left="360"/>
      </w:pPr>
    </w:p>
    <w:p w14:paraId="1AC5548C" w14:textId="33A7F63E" w:rsidR="001013E5" w:rsidRDefault="001013E5" w:rsidP="001013E5">
      <w:pPr>
        <w:spacing w:after="0" w:line="240" w:lineRule="auto"/>
        <w:ind w:left="360"/>
        <w:rPr>
          <w:rFonts w:cstheme="minorHAnsi"/>
        </w:rPr>
      </w:pPr>
      <w:r>
        <w:rPr>
          <w:rFonts w:cstheme="minorHAnsi"/>
        </w:rPr>
        <w:t>UNANTICIPATED ADVERSE DEVI</w:t>
      </w:r>
      <w:r w:rsidR="00097479">
        <w:rPr>
          <w:rFonts w:cstheme="minorHAnsi"/>
        </w:rPr>
        <w:t>CE EFFECT (UADE): A</w:t>
      </w:r>
      <w:r>
        <w:rPr>
          <w:rFonts w:cstheme="minorHAnsi"/>
        </w:rPr>
        <w:t>ny serious adverse effect on health or safety or any life-threatening problem or death caused by, or associated with, a device, if that effect, problem, or death was not previously identified in nature, severity, or degree of incidence in the investigational plan of application (including a supplementary plan or application), or any other unanticipated serious problem associated with a device that relates to the rights, safety, or welfare of subjects.</w:t>
      </w:r>
    </w:p>
    <w:p w14:paraId="19458328" w14:textId="77777777" w:rsidR="001013E5" w:rsidRDefault="001013E5" w:rsidP="00173AC5">
      <w:pPr>
        <w:spacing w:after="0" w:line="240" w:lineRule="auto"/>
        <w:ind w:left="360"/>
      </w:pPr>
    </w:p>
    <w:p w14:paraId="20686C9C" w14:textId="1D8AD922" w:rsidR="005E7A37" w:rsidRPr="004C4793" w:rsidRDefault="005E7A37" w:rsidP="004C4793">
      <w:pPr>
        <w:shd w:val="clear" w:color="auto" w:fill="FFFFFF"/>
        <w:spacing w:before="100" w:beforeAutospacing="1" w:after="100" w:afterAutospacing="1" w:line="240" w:lineRule="auto"/>
        <w:ind w:left="360"/>
        <w:outlineLvl w:val="2"/>
        <w:rPr>
          <w:rFonts w:eastAsia="Times New Roman" w:cstheme="minorHAnsi"/>
          <w:color w:val="222222"/>
        </w:rPr>
      </w:pPr>
      <w:r w:rsidRPr="004C4793">
        <w:rPr>
          <w:rFonts w:eastAsia="Times New Roman" w:cstheme="minorHAnsi"/>
          <w:color w:val="222222"/>
        </w:rPr>
        <w:t>UNA</w:t>
      </w:r>
      <w:r w:rsidR="003213CE" w:rsidRPr="004C4793">
        <w:rPr>
          <w:rFonts w:eastAsia="Times New Roman" w:cstheme="minorHAnsi"/>
          <w:color w:val="222222"/>
        </w:rPr>
        <w:t xml:space="preserve">NTICIPATED PROBLEM INVOLVING RISKS TO SUBJECTS OR OTHERS </w:t>
      </w:r>
      <w:r w:rsidRPr="004C4793">
        <w:rPr>
          <w:rFonts w:eastAsia="Times New Roman" w:cstheme="minorHAnsi"/>
          <w:color w:val="222222"/>
        </w:rPr>
        <w:t>(UPIRSO / UaP)</w:t>
      </w:r>
      <w:r w:rsidR="003213CE" w:rsidRPr="004C4793">
        <w:rPr>
          <w:rFonts w:eastAsia="Times New Roman" w:cstheme="minorHAnsi"/>
          <w:color w:val="222222"/>
        </w:rPr>
        <w:t>:</w:t>
      </w:r>
      <w:r w:rsidR="003213CE">
        <w:rPr>
          <w:rFonts w:eastAsia="Times New Roman" w:cstheme="minorHAnsi"/>
          <w:color w:val="222222"/>
        </w:rPr>
        <w:t xml:space="preserve"> </w:t>
      </w:r>
      <w:r w:rsidRPr="004C4793">
        <w:rPr>
          <w:rFonts w:eastAsia="Times New Roman" w:cstheme="minorHAnsi"/>
        </w:rPr>
        <w:t>Often referred as an Unanticipated Problem. An unanticipated problem may be either an actual harmful or unfavorable occurrence or any development that potentially increased the likelihood of harm occurring in the future. Assessment Criteria:                                  </w:t>
      </w:r>
    </w:p>
    <w:p w14:paraId="611B735D" w14:textId="77777777" w:rsidR="005E7A37" w:rsidRPr="004C4793" w:rsidRDefault="005E7A37" w:rsidP="005E7A37">
      <w:pPr>
        <w:numPr>
          <w:ilvl w:val="0"/>
          <w:numId w:val="5"/>
        </w:numPr>
        <w:shd w:val="clear" w:color="auto" w:fill="FFFFFF"/>
        <w:spacing w:after="0" w:line="240" w:lineRule="auto"/>
        <w:rPr>
          <w:rFonts w:eastAsia="Times New Roman" w:cstheme="minorHAnsi"/>
        </w:rPr>
      </w:pPr>
      <w:r w:rsidRPr="004C4793">
        <w:rPr>
          <w:rFonts w:eastAsia="Times New Roman" w:cstheme="minorHAnsi"/>
        </w:rPr>
        <w:t>Unanticipated Severity:  The nature, severity, or frequency of the event(s) or information was NOT expected, given descriptions in the study documents or the characteristics of the subject population being studied.</w:t>
      </w:r>
    </w:p>
    <w:p w14:paraId="752596B1" w14:textId="77777777" w:rsidR="005E7A37" w:rsidRPr="004C4793" w:rsidRDefault="005E7A37" w:rsidP="005E7A37">
      <w:pPr>
        <w:numPr>
          <w:ilvl w:val="0"/>
          <w:numId w:val="5"/>
        </w:numPr>
        <w:shd w:val="clear" w:color="auto" w:fill="FFFFFF"/>
        <w:spacing w:after="0" w:line="240" w:lineRule="auto"/>
        <w:rPr>
          <w:rFonts w:eastAsia="Times New Roman" w:cstheme="minorHAnsi"/>
        </w:rPr>
      </w:pPr>
      <w:r w:rsidRPr="004C4793">
        <w:rPr>
          <w:rFonts w:eastAsia="Times New Roman" w:cstheme="minorHAnsi"/>
        </w:rPr>
        <w:t>Related:  There is a reasonable possibility that the procedures involved in the research caused the problem.</w:t>
      </w:r>
    </w:p>
    <w:p w14:paraId="3E12F152" w14:textId="77777777" w:rsidR="005E7A37" w:rsidRPr="004C4793" w:rsidRDefault="005E7A37" w:rsidP="005E7A37">
      <w:pPr>
        <w:numPr>
          <w:ilvl w:val="0"/>
          <w:numId w:val="5"/>
        </w:numPr>
        <w:shd w:val="clear" w:color="auto" w:fill="FFFFFF"/>
        <w:spacing w:after="0" w:line="240" w:lineRule="auto"/>
        <w:rPr>
          <w:rFonts w:eastAsia="Times New Roman" w:cstheme="minorHAnsi"/>
        </w:rPr>
      </w:pPr>
      <w:r w:rsidRPr="004C4793">
        <w:rPr>
          <w:rFonts w:eastAsia="Times New Roman" w:cstheme="minorHAnsi"/>
        </w:rPr>
        <w:t>Increased Risk:  The event(s) or information suggests that the research places subjects or others at a greater risk of harm than was previously known or recognized (including physical, psychological, economic, or social harm).</w:t>
      </w:r>
    </w:p>
    <w:p w14:paraId="37AD4E57" w14:textId="77777777" w:rsidR="004F101B" w:rsidRDefault="004F101B" w:rsidP="004C4793">
      <w:pPr>
        <w:pStyle w:val="NormalWeb"/>
        <w:spacing w:before="0" w:beforeAutospacing="0" w:after="0" w:afterAutospacing="0"/>
        <w:ind w:left="1080"/>
      </w:pPr>
    </w:p>
    <w:p w14:paraId="3B1517FB" w14:textId="2ECF7D96" w:rsidR="004F101B" w:rsidRDefault="00391A32" w:rsidP="004F101B">
      <w:pPr>
        <w:spacing w:after="0" w:line="240" w:lineRule="auto"/>
        <w:ind w:left="360"/>
      </w:pPr>
      <w:r>
        <w:t>Note: Some</w:t>
      </w:r>
      <w:r w:rsidR="004F101B">
        <w:t xml:space="preserve"> of the definitions above were obta</w:t>
      </w:r>
      <w:r w:rsidR="00BF7ABA">
        <w:t>ined from the IRBMed Glossary. </w:t>
      </w:r>
      <w:r w:rsidR="004F101B">
        <w:t>These d</w:t>
      </w:r>
      <w:r w:rsidR="006F62CD">
        <w:t xml:space="preserve">efinitions were current as of </w:t>
      </w:r>
      <w:r w:rsidR="00342A39">
        <w:t>01-</w:t>
      </w:r>
      <w:r w:rsidR="00E319A6">
        <w:t xml:space="preserve">Oct-2022 </w:t>
      </w:r>
      <w:r w:rsidR="004F101B">
        <w:t>and are subject to change. Please see the</w:t>
      </w:r>
      <w:hyperlink r:id="rId11" w:history="1">
        <w:r w:rsidR="004F101B" w:rsidRPr="00471719">
          <w:rPr>
            <w:rStyle w:val="Hyperlink"/>
          </w:rPr>
          <w:t xml:space="preserve"> IRBMed Glossary</w:t>
        </w:r>
      </w:hyperlink>
      <w:r w:rsidR="004F101B">
        <w:t xml:space="preserve"> for the most current definitions and additional guidance</w:t>
      </w:r>
      <w:r w:rsidR="00BF7ABA">
        <w:t>.”</w:t>
      </w:r>
    </w:p>
    <w:p w14:paraId="18686EA1" w14:textId="76296748" w:rsidR="00ED4FE1" w:rsidRPr="004F101B" w:rsidRDefault="00ED4FE1" w:rsidP="004F101B">
      <w:pPr>
        <w:spacing w:after="0" w:line="240" w:lineRule="auto"/>
        <w:ind w:left="360" w:right="936"/>
        <w:rPr>
          <w:rFonts w:ascii="Calibri" w:eastAsia="Calibri" w:hAnsi="Calibri" w:cs="Calibri"/>
        </w:rPr>
      </w:pPr>
      <w:r w:rsidRPr="004F101B">
        <w:rPr>
          <w:rFonts w:cs="Arial"/>
        </w:rPr>
        <w:t>(</w:t>
      </w:r>
      <w:r w:rsidRPr="004F101B">
        <w:rPr>
          <w:rFonts w:cs="Arial"/>
          <w:b/>
        </w:rPr>
        <w:t>MANDATORY LANGUAGE</w:t>
      </w:r>
      <w:r w:rsidRPr="004F101B">
        <w:rPr>
          <w:rFonts w:cs="Arial"/>
        </w:rPr>
        <w:t>)</w:t>
      </w:r>
    </w:p>
    <w:p w14:paraId="072558C3" w14:textId="77777777" w:rsidR="00223800" w:rsidRDefault="00223800" w:rsidP="00AF3BE3">
      <w:pPr>
        <w:pStyle w:val="NormalWeb"/>
        <w:spacing w:before="0" w:beforeAutospacing="0" w:after="0" w:afterAutospacing="0"/>
        <w:ind w:left="180"/>
        <w:rPr>
          <w:rFonts w:asciiTheme="minorHAnsi" w:eastAsiaTheme="minorHAnsi" w:hAnsiTheme="minorHAnsi" w:cstheme="minorBidi"/>
          <w:sz w:val="22"/>
          <w:szCs w:val="22"/>
        </w:rPr>
      </w:pPr>
    </w:p>
    <w:p w14:paraId="375D08BF" w14:textId="0784BA35" w:rsidR="00223800" w:rsidRDefault="00223800" w:rsidP="004F101B">
      <w:pPr>
        <w:spacing w:after="0" w:line="240" w:lineRule="auto"/>
        <w:ind w:left="360"/>
        <w:rPr>
          <w:rFonts w:ascii="Calibri" w:eastAsia="Calibri" w:hAnsi="Calibri" w:cs="Calibri"/>
          <w:i/>
          <w:color w:val="00B0F0"/>
        </w:rPr>
      </w:pPr>
      <w:r w:rsidRPr="00F1615E">
        <w:rPr>
          <w:rFonts w:cs="Calibri"/>
          <w:i/>
          <w:color w:val="00B0F0"/>
        </w:rPr>
        <w:t xml:space="preserve">[Optional: </w:t>
      </w:r>
      <w:r>
        <w:rPr>
          <w:rFonts w:ascii="Calibri" w:eastAsia="Calibri" w:hAnsi="Calibri" w:cs="Calibri"/>
          <w:i/>
          <w:color w:val="00B0F0"/>
          <w:spacing w:val="-1"/>
        </w:rPr>
        <w:t>Insert</w:t>
      </w:r>
      <w:r w:rsidRPr="00F1615E">
        <w:rPr>
          <w:rFonts w:ascii="Calibri" w:eastAsia="Calibri" w:hAnsi="Calibri" w:cs="Calibri"/>
          <w:i/>
          <w:color w:val="00B0F0"/>
          <w:spacing w:val="-1"/>
        </w:rPr>
        <w:t xml:space="preserve"> an</w:t>
      </w:r>
      <w:r w:rsidRPr="00F1615E">
        <w:rPr>
          <w:rFonts w:ascii="Calibri" w:eastAsia="Calibri" w:hAnsi="Calibri" w:cs="Calibri"/>
          <w:i/>
          <w:color w:val="00B0F0"/>
        </w:rPr>
        <w:t>y</w:t>
      </w:r>
      <w:r w:rsidRPr="00F1615E">
        <w:rPr>
          <w:rFonts w:ascii="Calibri" w:eastAsia="Calibri" w:hAnsi="Calibri" w:cs="Calibri"/>
          <w:i/>
          <w:color w:val="00B0F0"/>
          <w:spacing w:val="-2"/>
        </w:rPr>
        <w:t xml:space="preserve"> additional</w:t>
      </w:r>
      <w:r>
        <w:rPr>
          <w:rFonts w:ascii="Calibri" w:eastAsia="Calibri" w:hAnsi="Calibri" w:cs="Calibri"/>
          <w:i/>
          <w:color w:val="00B0F0"/>
          <w:spacing w:val="-2"/>
        </w:rPr>
        <w:t xml:space="preserve"> definitions for</w:t>
      </w:r>
      <w:r w:rsidRPr="00F1615E">
        <w:rPr>
          <w:rFonts w:ascii="Calibri" w:eastAsia="Calibri" w:hAnsi="Calibri" w:cs="Calibri"/>
          <w:i/>
          <w:color w:val="00B0F0"/>
          <w:spacing w:val="-2"/>
        </w:rPr>
        <w:t xml:space="preserve"> </w:t>
      </w:r>
      <w:r w:rsidRPr="00F1615E">
        <w:rPr>
          <w:rFonts w:ascii="Calibri" w:eastAsia="Calibri" w:hAnsi="Calibri" w:cs="Calibri"/>
          <w:i/>
          <w:color w:val="00B0F0"/>
        </w:rPr>
        <w:t>te</w:t>
      </w:r>
      <w:r w:rsidRPr="00F1615E">
        <w:rPr>
          <w:rFonts w:ascii="Calibri" w:eastAsia="Calibri" w:hAnsi="Calibri" w:cs="Calibri"/>
          <w:i/>
          <w:color w:val="00B0F0"/>
          <w:spacing w:val="-1"/>
        </w:rPr>
        <w:t>chn</w:t>
      </w:r>
      <w:r w:rsidRPr="00F1615E">
        <w:rPr>
          <w:rFonts w:ascii="Calibri" w:eastAsia="Calibri" w:hAnsi="Calibri" w:cs="Calibri"/>
          <w:i/>
          <w:color w:val="00B0F0"/>
        </w:rPr>
        <w:t>i</w:t>
      </w:r>
      <w:r w:rsidRPr="00F1615E">
        <w:rPr>
          <w:rFonts w:ascii="Calibri" w:eastAsia="Calibri" w:hAnsi="Calibri" w:cs="Calibri"/>
          <w:i/>
          <w:color w:val="00B0F0"/>
          <w:spacing w:val="-1"/>
        </w:rPr>
        <w:t>ca</w:t>
      </w:r>
      <w:r w:rsidRPr="00F1615E">
        <w:rPr>
          <w:rFonts w:ascii="Calibri" w:eastAsia="Calibri" w:hAnsi="Calibri" w:cs="Calibri"/>
          <w:i/>
          <w:color w:val="00B0F0"/>
        </w:rPr>
        <w:t>l</w:t>
      </w:r>
      <w:r w:rsidRPr="00F1615E">
        <w:rPr>
          <w:rFonts w:ascii="Calibri" w:eastAsia="Calibri" w:hAnsi="Calibri" w:cs="Calibri"/>
          <w:i/>
          <w:color w:val="00B0F0"/>
          <w:spacing w:val="-7"/>
        </w:rPr>
        <w:t xml:space="preserve"> </w:t>
      </w:r>
      <w:r w:rsidRPr="00F1615E">
        <w:rPr>
          <w:rFonts w:ascii="Calibri" w:eastAsia="Calibri" w:hAnsi="Calibri" w:cs="Calibri"/>
          <w:i/>
          <w:color w:val="00B0F0"/>
        </w:rPr>
        <w:t>or</w:t>
      </w:r>
      <w:r w:rsidRPr="00F1615E">
        <w:rPr>
          <w:rFonts w:ascii="Calibri" w:eastAsia="Calibri" w:hAnsi="Calibri" w:cs="Calibri"/>
          <w:i/>
          <w:color w:val="00B0F0"/>
          <w:spacing w:val="-1"/>
        </w:rPr>
        <w:t xml:space="preserve"> </w:t>
      </w:r>
      <w:r w:rsidRPr="00F1615E">
        <w:rPr>
          <w:rFonts w:ascii="Calibri" w:eastAsia="Calibri" w:hAnsi="Calibri" w:cs="Calibri"/>
          <w:i/>
          <w:color w:val="00B0F0"/>
        </w:rPr>
        <w:t>s</w:t>
      </w:r>
      <w:r w:rsidRPr="00F1615E">
        <w:rPr>
          <w:rFonts w:ascii="Calibri" w:eastAsia="Calibri" w:hAnsi="Calibri" w:cs="Calibri"/>
          <w:i/>
          <w:color w:val="00B0F0"/>
          <w:spacing w:val="-1"/>
        </w:rPr>
        <w:t>p</w:t>
      </w:r>
      <w:r w:rsidRPr="00F1615E">
        <w:rPr>
          <w:rFonts w:ascii="Calibri" w:eastAsia="Calibri" w:hAnsi="Calibri" w:cs="Calibri"/>
          <w:i/>
          <w:color w:val="00B0F0"/>
        </w:rPr>
        <w:t>e</w:t>
      </w:r>
      <w:r w:rsidRPr="00F1615E">
        <w:rPr>
          <w:rFonts w:ascii="Calibri" w:eastAsia="Calibri" w:hAnsi="Calibri" w:cs="Calibri"/>
          <w:i/>
          <w:color w:val="00B0F0"/>
          <w:spacing w:val="-1"/>
        </w:rPr>
        <w:t>c</w:t>
      </w:r>
      <w:r w:rsidRPr="00F1615E">
        <w:rPr>
          <w:rFonts w:ascii="Calibri" w:eastAsia="Calibri" w:hAnsi="Calibri" w:cs="Calibri"/>
          <w:i/>
          <w:color w:val="00B0F0"/>
        </w:rPr>
        <w:t>i</w:t>
      </w:r>
      <w:r w:rsidRPr="00F1615E">
        <w:rPr>
          <w:rFonts w:ascii="Calibri" w:eastAsia="Calibri" w:hAnsi="Calibri" w:cs="Calibri"/>
          <w:i/>
          <w:color w:val="00B0F0"/>
          <w:spacing w:val="-1"/>
        </w:rPr>
        <w:t>a</w:t>
      </w:r>
      <w:r w:rsidRPr="00F1615E">
        <w:rPr>
          <w:rFonts w:ascii="Calibri" w:eastAsia="Calibri" w:hAnsi="Calibri" w:cs="Calibri"/>
          <w:i/>
          <w:color w:val="00B0F0"/>
        </w:rPr>
        <w:t>l</w:t>
      </w:r>
      <w:r w:rsidRPr="00F1615E">
        <w:rPr>
          <w:rFonts w:ascii="Calibri" w:eastAsia="Calibri" w:hAnsi="Calibri" w:cs="Calibri"/>
          <w:i/>
          <w:color w:val="00B0F0"/>
          <w:spacing w:val="-4"/>
        </w:rPr>
        <w:t xml:space="preserve"> </w:t>
      </w:r>
      <w:r>
        <w:rPr>
          <w:rFonts w:ascii="Calibri" w:eastAsia="Calibri" w:hAnsi="Calibri" w:cs="Calibri"/>
          <w:i/>
          <w:color w:val="00B0F0"/>
        </w:rPr>
        <w:t>terms</w:t>
      </w:r>
      <w:r w:rsidRPr="00F1615E">
        <w:rPr>
          <w:rFonts w:ascii="Calibri" w:eastAsia="Calibri" w:hAnsi="Calibri" w:cs="Calibri"/>
          <w:i/>
          <w:color w:val="00B0F0"/>
          <w:spacing w:val="-4"/>
        </w:rPr>
        <w:t xml:space="preserve"> </w:t>
      </w:r>
      <w:r w:rsidRPr="00F1615E">
        <w:rPr>
          <w:rFonts w:ascii="Calibri" w:eastAsia="Calibri" w:hAnsi="Calibri" w:cs="Calibri"/>
          <w:i/>
          <w:color w:val="00B0F0"/>
          <w:spacing w:val="-1"/>
        </w:rPr>
        <w:t>u</w:t>
      </w:r>
      <w:r w:rsidRPr="00F1615E">
        <w:rPr>
          <w:rFonts w:ascii="Calibri" w:eastAsia="Calibri" w:hAnsi="Calibri" w:cs="Calibri"/>
          <w:i/>
          <w:color w:val="00B0F0"/>
        </w:rPr>
        <w:t>sed</w:t>
      </w:r>
      <w:r w:rsidRPr="00F1615E">
        <w:rPr>
          <w:rFonts w:ascii="Calibri" w:eastAsia="Calibri" w:hAnsi="Calibri" w:cs="Calibri"/>
          <w:i/>
          <w:color w:val="00B0F0"/>
          <w:spacing w:val="-5"/>
        </w:rPr>
        <w:t xml:space="preserve"> </w:t>
      </w:r>
      <w:r w:rsidRPr="00F1615E">
        <w:rPr>
          <w:rFonts w:ascii="Calibri" w:eastAsia="Calibri" w:hAnsi="Calibri" w:cs="Calibri"/>
          <w:i/>
          <w:color w:val="00B0F0"/>
        </w:rPr>
        <w:t>wi</w:t>
      </w:r>
      <w:r w:rsidRPr="00F1615E">
        <w:rPr>
          <w:rFonts w:ascii="Calibri" w:eastAsia="Calibri" w:hAnsi="Calibri" w:cs="Calibri"/>
          <w:i/>
          <w:color w:val="00B0F0"/>
          <w:spacing w:val="-2"/>
        </w:rPr>
        <w:t>t</w:t>
      </w:r>
      <w:r w:rsidRPr="00F1615E">
        <w:rPr>
          <w:rFonts w:ascii="Calibri" w:eastAsia="Calibri" w:hAnsi="Calibri" w:cs="Calibri"/>
          <w:i/>
          <w:color w:val="00B0F0"/>
          <w:spacing w:val="-1"/>
        </w:rPr>
        <w:t>h</w:t>
      </w:r>
      <w:r w:rsidRPr="00F1615E">
        <w:rPr>
          <w:rFonts w:ascii="Calibri" w:eastAsia="Calibri" w:hAnsi="Calibri" w:cs="Calibri"/>
          <w:i/>
          <w:color w:val="00B0F0"/>
        </w:rPr>
        <w:t>in</w:t>
      </w:r>
      <w:r w:rsidRPr="00F1615E">
        <w:rPr>
          <w:rFonts w:ascii="Calibri" w:eastAsia="Calibri" w:hAnsi="Calibri" w:cs="Calibri"/>
          <w:i/>
          <w:color w:val="00B0F0"/>
          <w:spacing w:val="-5"/>
        </w:rPr>
        <w:t xml:space="preserve"> </w:t>
      </w:r>
      <w:r>
        <w:rPr>
          <w:rFonts w:ascii="Calibri" w:eastAsia="Calibri" w:hAnsi="Calibri" w:cs="Calibri"/>
          <w:i/>
          <w:color w:val="00B0F0"/>
          <w:spacing w:val="-3"/>
        </w:rPr>
        <w:t xml:space="preserve">the Standard </w:t>
      </w:r>
      <w:r w:rsidR="00C46C18">
        <w:rPr>
          <w:rFonts w:ascii="Calibri" w:eastAsia="Calibri" w:hAnsi="Calibri" w:cs="Calibri"/>
          <w:i/>
          <w:color w:val="00B0F0"/>
          <w:spacing w:val="-3"/>
        </w:rPr>
        <w:t>Practice Guideline</w:t>
      </w:r>
      <w:r w:rsidR="00A65CA9">
        <w:rPr>
          <w:rFonts w:ascii="Calibri" w:eastAsia="Calibri" w:hAnsi="Calibri" w:cs="Calibri"/>
          <w:i/>
          <w:color w:val="00B0F0"/>
          <w:spacing w:val="-3"/>
        </w:rPr>
        <w:t xml:space="preserve"> </w:t>
      </w:r>
      <w:r w:rsidRPr="00F1615E">
        <w:rPr>
          <w:rFonts w:ascii="Calibri" w:eastAsia="Calibri" w:hAnsi="Calibri" w:cs="Calibri"/>
          <w:i/>
          <w:color w:val="00B0F0"/>
        </w:rPr>
        <w:t>t</w:t>
      </w:r>
      <w:r w:rsidRPr="00F1615E">
        <w:rPr>
          <w:rFonts w:ascii="Calibri" w:eastAsia="Calibri" w:hAnsi="Calibri" w:cs="Calibri"/>
          <w:i/>
          <w:color w:val="00B0F0"/>
          <w:spacing w:val="-1"/>
        </w:rPr>
        <w:t>ha</w:t>
      </w:r>
      <w:r w:rsidRPr="00F1615E">
        <w:rPr>
          <w:rFonts w:ascii="Calibri" w:eastAsia="Calibri" w:hAnsi="Calibri" w:cs="Calibri"/>
          <w:i/>
          <w:color w:val="00B0F0"/>
        </w:rPr>
        <w:t>t</w:t>
      </w:r>
      <w:r w:rsidRPr="00F1615E">
        <w:rPr>
          <w:rFonts w:ascii="Calibri" w:eastAsia="Calibri" w:hAnsi="Calibri" w:cs="Calibri"/>
          <w:i/>
          <w:color w:val="00B0F0"/>
          <w:spacing w:val="-4"/>
        </w:rPr>
        <w:t xml:space="preserve"> </w:t>
      </w:r>
      <w:r w:rsidRPr="00F1615E">
        <w:rPr>
          <w:rFonts w:ascii="Calibri" w:eastAsia="Calibri" w:hAnsi="Calibri" w:cs="Calibri"/>
          <w:i/>
          <w:color w:val="00B0F0"/>
        </w:rPr>
        <w:t>m</w:t>
      </w:r>
      <w:r w:rsidRPr="00F1615E">
        <w:rPr>
          <w:rFonts w:ascii="Calibri" w:eastAsia="Calibri" w:hAnsi="Calibri" w:cs="Calibri"/>
          <w:i/>
          <w:color w:val="00B0F0"/>
          <w:spacing w:val="-3"/>
        </w:rPr>
        <w:t>a</w:t>
      </w:r>
      <w:r w:rsidRPr="00F1615E">
        <w:rPr>
          <w:rFonts w:ascii="Calibri" w:eastAsia="Calibri" w:hAnsi="Calibri" w:cs="Calibri"/>
          <w:i/>
          <w:color w:val="00B0F0"/>
        </w:rPr>
        <w:t>y</w:t>
      </w:r>
      <w:r w:rsidRPr="00F1615E">
        <w:rPr>
          <w:rFonts w:ascii="Calibri" w:eastAsia="Calibri" w:hAnsi="Calibri" w:cs="Calibri"/>
          <w:i/>
          <w:color w:val="00B0F0"/>
          <w:spacing w:val="-4"/>
        </w:rPr>
        <w:t xml:space="preserve"> </w:t>
      </w:r>
      <w:r w:rsidRPr="00F1615E">
        <w:rPr>
          <w:rFonts w:ascii="Calibri" w:eastAsia="Calibri" w:hAnsi="Calibri" w:cs="Calibri"/>
          <w:i/>
          <w:color w:val="00B0F0"/>
          <w:spacing w:val="-1"/>
        </w:rPr>
        <w:t>no</w:t>
      </w:r>
      <w:r w:rsidRPr="00F1615E">
        <w:rPr>
          <w:rFonts w:ascii="Calibri" w:eastAsia="Calibri" w:hAnsi="Calibri" w:cs="Calibri"/>
          <w:i/>
          <w:color w:val="00B0F0"/>
        </w:rPr>
        <w:t>t</w:t>
      </w:r>
      <w:r w:rsidRPr="00F1615E">
        <w:rPr>
          <w:rFonts w:ascii="Calibri" w:eastAsia="Calibri" w:hAnsi="Calibri" w:cs="Calibri"/>
          <w:i/>
          <w:color w:val="00B0F0"/>
          <w:spacing w:val="-1"/>
        </w:rPr>
        <w:t xml:space="preserve"> be </w:t>
      </w:r>
      <w:r w:rsidRPr="00F1615E">
        <w:rPr>
          <w:rFonts w:ascii="Calibri" w:eastAsia="Calibri" w:hAnsi="Calibri" w:cs="Calibri"/>
          <w:i/>
          <w:color w:val="00B0F0"/>
        </w:rPr>
        <w:t>f</w:t>
      </w:r>
      <w:r w:rsidRPr="00F1615E">
        <w:rPr>
          <w:rFonts w:ascii="Calibri" w:eastAsia="Calibri" w:hAnsi="Calibri" w:cs="Calibri"/>
          <w:i/>
          <w:color w:val="00B0F0"/>
          <w:spacing w:val="-1"/>
        </w:rPr>
        <w:t>a</w:t>
      </w:r>
      <w:r w:rsidRPr="00F1615E">
        <w:rPr>
          <w:rFonts w:ascii="Calibri" w:eastAsia="Calibri" w:hAnsi="Calibri" w:cs="Calibri"/>
          <w:i/>
          <w:color w:val="00B0F0"/>
        </w:rPr>
        <w:t>mili</w:t>
      </w:r>
      <w:r w:rsidRPr="00F1615E">
        <w:rPr>
          <w:rFonts w:ascii="Calibri" w:eastAsia="Calibri" w:hAnsi="Calibri" w:cs="Calibri"/>
          <w:i/>
          <w:color w:val="00B0F0"/>
          <w:spacing w:val="-1"/>
        </w:rPr>
        <w:t>a</w:t>
      </w:r>
      <w:r w:rsidRPr="00F1615E">
        <w:rPr>
          <w:rFonts w:ascii="Calibri" w:eastAsia="Calibri" w:hAnsi="Calibri" w:cs="Calibri"/>
          <w:i/>
          <w:color w:val="00B0F0"/>
        </w:rPr>
        <w:t>r</w:t>
      </w:r>
      <w:r w:rsidRPr="00F1615E">
        <w:rPr>
          <w:rFonts w:ascii="Calibri" w:eastAsia="Calibri" w:hAnsi="Calibri" w:cs="Calibri"/>
          <w:i/>
          <w:color w:val="00B0F0"/>
          <w:spacing w:val="-5"/>
        </w:rPr>
        <w:t xml:space="preserve"> </w:t>
      </w:r>
      <w:r w:rsidRPr="00F1615E">
        <w:rPr>
          <w:rFonts w:ascii="Calibri" w:eastAsia="Calibri" w:hAnsi="Calibri" w:cs="Calibri"/>
          <w:i/>
          <w:color w:val="00B0F0"/>
        </w:rPr>
        <w:t>to</w:t>
      </w:r>
      <w:r w:rsidRPr="00F1615E">
        <w:rPr>
          <w:rFonts w:ascii="Calibri" w:eastAsia="Calibri" w:hAnsi="Calibri" w:cs="Calibri"/>
          <w:i/>
          <w:color w:val="00B0F0"/>
          <w:spacing w:val="-2"/>
        </w:rPr>
        <w:t xml:space="preserve"> </w:t>
      </w:r>
      <w:r w:rsidRPr="00F1615E">
        <w:rPr>
          <w:rFonts w:ascii="Calibri" w:eastAsia="Calibri" w:hAnsi="Calibri" w:cs="Calibri"/>
          <w:i/>
          <w:color w:val="00B0F0"/>
        </w:rPr>
        <w:t>t</w:t>
      </w:r>
      <w:r w:rsidRPr="00F1615E">
        <w:rPr>
          <w:rFonts w:ascii="Calibri" w:eastAsia="Calibri" w:hAnsi="Calibri" w:cs="Calibri"/>
          <w:i/>
          <w:color w:val="00B0F0"/>
          <w:spacing w:val="-1"/>
        </w:rPr>
        <w:t>h</w:t>
      </w:r>
      <w:r w:rsidRPr="00F1615E">
        <w:rPr>
          <w:rFonts w:ascii="Calibri" w:eastAsia="Calibri" w:hAnsi="Calibri" w:cs="Calibri"/>
          <w:i/>
          <w:color w:val="00B0F0"/>
        </w:rPr>
        <w:t>e</w:t>
      </w:r>
      <w:r w:rsidRPr="00F1615E">
        <w:rPr>
          <w:rFonts w:ascii="Calibri" w:eastAsia="Calibri" w:hAnsi="Calibri" w:cs="Calibri"/>
          <w:i/>
          <w:color w:val="00B0F0"/>
          <w:spacing w:val="-4"/>
        </w:rPr>
        <w:t xml:space="preserve"> </w:t>
      </w:r>
      <w:r w:rsidRPr="00F1615E">
        <w:rPr>
          <w:rFonts w:ascii="Calibri" w:eastAsia="Calibri" w:hAnsi="Calibri" w:cs="Calibri"/>
          <w:i/>
          <w:color w:val="00B0F0"/>
        </w:rPr>
        <w:t>l</w:t>
      </w:r>
      <w:r w:rsidRPr="00F1615E">
        <w:rPr>
          <w:rFonts w:ascii="Calibri" w:eastAsia="Calibri" w:hAnsi="Calibri" w:cs="Calibri"/>
          <w:i/>
          <w:color w:val="00B0F0"/>
          <w:spacing w:val="-1"/>
        </w:rPr>
        <w:t>a</w:t>
      </w:r>
      <w:r w:rsidRPr="00F1615E">
        <w:rPr>
          <w:rFonts w:ascii="Calibri" w:eastAsia="Calibri" w:hAnsi="Calibri" w:cs="Calibri"/>
          <w:i/>
          <w:color w:val="00B0F0"/>
        </w:rPr>
        <w:t>y</w:t>
      </w:r>
      <w:r w:rsidRPr="00F1615E">
        <w:rPr>
          <w:rFonts w:ascii="Calibri" w:eastAsia="Calibri" w:hAnsi="Calibri" w:cs="Calibri"/>
          <w:i/>
          <w:color w:val="00B0F0"/>
          <w:spacing w:val="-2"/>
        </w:rPr>
        <w:t xml:space="preserve"> </w:t>
      </w:r>
      <w:r w:rsidRPr="00F1615E">
        <w:rPr>
          <w:rFonts w:ascii="Calibri" w:eastAsia="Calibri" w:hAnsi="Calibri" w:cs="Calibri"/>
          <w:i/>
          <w:color w:val="00B0F0"/>
          <w:spacing w:val="1"/>
        </w:rPr>
        <w:t>r</w:t>
      </w:r>
      <w:r w:rsidRPr="00F1615E">
        <w:rPr>
          <w:rFonts w:ascii="Calibri" w:eastAsia="Calibri" w:hAnsi="Calibri" w:cs="Calibri"/>
          <w:i/>
          <w:color w:val="00B0F0"/>
        </w:rPr>
        <w:t>e</w:t>
      </w:r>
      <w:r w:rsidRPr="00F1615E">
        <w:rPr>
          <w:rFonts w:ascii="Calibri" w:eastAsia="Calibri" w:hAnsi="Calibri" w:cs="Calibri"/>
          <w:i/>
          <w:color w:val="00B0F0"/>
          <w:spacing w:val="-1"/>
        </w:rPr>
        <w:t>ad</w:t>
      </w:r>
      <w:r w:rsidRPr="00F1615E">
        <w:rPr>
          <w:rFonts w:ascii="Calibri" w:eastAsia="Calibri" w:hAnsi="Calibri" w:cs="Calibri"/>
          <w:i/>
          <w:color w:val="00B0F0"/>
          <w:spacing w:val="-2"/>
        </w:rPr>
        <w:t>e</w:t>
      </w:r>
      <w:r w:rsidRPr="00F1615E">
        <w:rPr>
          <w:rFonts w:ascii="Calibri" w:eastAsia="Calibri" w:hAnsi="Calibri" w:cs="Calibri"/>
          <w:i/>
          <w:color w:val="00B0F0"/>
          <w:spacing w:val="1"/>
        </w:rPr>
        <w:t>r</w:t>
      </w:r>
      <w:r w:rsidRPr="00F1615E">
        <w:rPr>
          <w:rFonts w:ascii="Calibri" w:eastAsia="Calibri" w:hAnsi="Calibri" w:cs="Calibri"/>
          <w:i/>
          <w:color w:val="00B0F0"/>
        </w:rPr>
        <w:t>]</w:t>
      </w:r>
    </w:p>
    <w:p w14:paraId="4D47F5CF" w14:textId="77777777" w:rsidR="001956F1" w:rsidRPr="00F1615E" w:rsidRDefault="001956F1" w:rsidP="00223800">
      <w:pPr>
        <w:spacing w:after="0" w:line="240" w:lineRule="auto"/>
        <w:ind w:left="288"/>
        <w:rPr>
          <w:rFonts w:ascii="Calibri" w:eastAsia="Calibri" w:hAnsi="Calibri" w:cs="Calibri"/>
          <w:i/>
          <w:color w:val="00B0F0"/>
        </w:rPr>
      </w:pPr>
    </w:p>
    <w:p w14:paraId="0D27186B" w14:textId="17C3CACE" w:rsidR="00F14432" w:rsidRDefault="001956F1" w:rsidP="001956F1">
      <w:pPr>
        <w:pStyle w:val="ListParagraph"/>
        <w:numPr>
          <w:ilvl w:val="0"/>
          <w:numId w:val="10"/>
        </w:numPr>
        <w:spacing w:after="0" w:line="240" w:lineRule="auto"/>
        <w:rPr>
          <w:rFonts w:ascii="Calibri" w:eastAsia="Calibri" w:hAnsi="Calibri" w:cs="Calibri"/>
          <w:b/>
          <w:bCs/>
        </w:rPr>
      </w:pPr>
      <w:r>
        <w:rPr>
          <w:rFonts w:ascii="Calibri" w:eastAsia="Calibri" w:hAnsi="Calibri" w:cs="Calibri"/>
          <w:b/>
          <w:bCs/>
          <w:spacing w:val="1"/>
        </w:rPr>
        <w:t>ROLES AND RESPONSIBILITIES</w:t>
      </w:r>
    </w:p>
    <w:p w14:paraId="59A899C1" w14:textId="352EAE0E" w:rsidR="001764B6" w:rsidRDefault="00F021CE" w:rsidP="00227FD1">
      <w:pPr>
        <w:spacing w:after="0" w:line="240" w:lineRule="auto"/>
        <w:ind w:right="-20" w:firstLine="360"/>
        <w:rPr>
          <w:b/>
        </w:rPr>
      </w:pPr>
      <w:r w:rsidRPr="006014E7">
        <w:rPr>
          <w:b/>
        </w:rPr>
        <w:t>Principal Investigator</w:t>
      </w:r>
    </w:p>
    <w:p w14:paraId="0F9549A8" w14:textId="59C8DD27" w:rsidR="0028184D" w:rsidRPr="00E54A87" w:rsidRDefault="003253CA" w:rsidP="00E54A87">
      <w:pPr>
        <w:spacing w:after="0" w:line="240" w:lineRule="auto"/>
        <w:ind w:left="360" w:right="936"/>
        <w:rPr>
          <w:rFonts w:ascii="Calibri" w:eastAsia="Calibri" w:hAnsi="Calibri" w:cs="Calibri"/>
        </w:rPr>
      </w:pPr>
      <w:r w:rsidRPr="00893A96">
        <w:t xml:space="preserve">An individual filling the role of </w:t>
      </w:r>
      <w:r w:rsidR="00A0123B" w:rsidRPr="00B70390">
        <w:rPr>
          <w:rFonts w:eastAsia="Calibri" w:cstheme="minorHAnsi"/>
          <w:spacing w:val="-1"/>
        </w:rPr>
        <w:t xml:space="preserve">Principal </w:t>
      </w:r>
      <w:r w:rsidR="009539D9" w:rsidRPr="00B70390">
        <w:rPr>
          <w:rFonts w:eastAsia="Calibri" w:cstheme="minorHAnsi"/>
          <w:spacing w:val="-1"/>
        </w:rPr>
        <w:t>Investigator</w:t>
      </w:r>
      <w:r w:rsidR="00A0123B" w:rsidRPr="00B70390">
        <w:rPr>
          <w:rFonts w:eastAsia="Calibri" w:cstheme="minorHAnsi"/>
          <w:spacing w:val="-1"/>
        </w:rPr>
        <w:t xml:space="preserve"> (PI)</w:t>
      </w:r>
      <w:r w:rsidR="00722ED2" w:rsidRPr="00B70390">
        <w:rPr>
          <w:rFonts w:eastAsia="Calibri" w:cstheme="minorHAnsi"/>
          <w:spacing w:val="-1"/>
        </w:rPr>
        <w:t xml:space="preserve"> </w:t>
      </w:r>
      <w:r w:rsidR="00A0123B" w:rsidRPr="00722ED2">
        <w:rPr>
          <w:rFonts w:eastAsia="Calibri" w:cstheme="minorHAnsi"/>
          <w:spacing w:val="-1"/>
        </w:rPr>
        <w:t xml:space="preserve">is responsible for </w:t>
      </w:r>
      <w:r w:rsidR="00A0123B" w:rsidRPr="00722ED2">
        <w:rPr>
          <w:rFonts w:cstheme="minorHAnsi"/>
        </w:rPr>
        <w:t>making</w:t>
      </w:r>
      <w:r w:rsidR="0028184D">
        <w:rPr>
          <w:rFonts w:cstheme="minorHAnsi"/>
        </w:rPr>
        <w:t xml:space="preserve"> sure AEs</w:t>
      </w:r>
      <w:r w:rsidR="001764B6">
        <w:rPr>
          <w:rFonts w:cstheme="minorHAnsi"/>
        </w:rPr>
        <w:t>,</w:t>
      </w:r>
      <w:r w:rsidR="0028184D">
        <w:rPr>
          <w:rFonts w:cstheme="minorHAnsi"/>
        </w:rPr>
        <w:t xml:space="preserve"> SAEs</w:t>
      </w:r>
      <w:r w:rsidR="00B31113">
        <w:rPr>
          <w:rFonts w:cstheme="minorHAnsi"/>
        </w:rPr>
        <w:t>,</w:t>
      </w:r>
      <w:r w:rsidR="001013E5">
        <w:rPr>
          <w:rFonts w:cstheme="minorHAnsi"/>
        </w:rPr>
        <w:t xml:space="preserve"> UADEs,</w:t>
      </w:r>
      <w:r w:rsidR="0028184D">
        <w:rPr>
          <w:rFonts w:cstheme="minorHAnsi"/>
        </w:rPr>
        <w:t xml:space="preserve"> </w:t>
      </w:r>
      <w:r w:rsidR="001764B6">
        <w:rPr>
          <w:rFonts w:cstheme="minorHAnsi"/>
        </w:rPr>
        <w:t xml:space="preserve">and UaPs </w:t>
      </w:r>
      <w:r w:rsidR="000F39FD">
        <w:rPr>
          <w:rFonts w:cstheme="minorHAnsi"/>
        </w:rPr>
        <w:t xml:space="preserve">occurring during a clinical trial </w:t>
      </w:r>
      <w:r w:rsidR="0028184D">
        <w:rPr>
          <w:rFonts w:cstheme="minorHAnsi"/>
        </w:rPr>
        <w:t>are appropriately</w:t>
      </w:r>
      <w:r w:rsidR="001764B6">
        <w:rPr>
          <w:rFonts w:cstheme="minorHAnsi"/>
        </w:rPr>
        <w:t xml:space="preserve"> reviewed,</w:t>
      </w:r>
      <w:r w:rsidR="0028184D">
        <w:rPr>
          <w:rFonts w:cstheme="minorHAnsi"/>
        </w:rPr>
        <w:t xml:space="preserve"> </w:t>
      </w:r>
      <w:r w:rsidR="00812903">
        <w:rPr>
          <w:rFonts w:cstheme="minorHAnsi"/>
        </w:rPr>
        <w:t>recorded,</w:t>
      </w:r>
      <w:r w:rsidR="0028184D">
        <w:rPr>
          <w:rFonts w:cstheme="minorHAnsi"/>
        </w:rPr>
        <w:t xml:space="preserve"> and reported. </w:t>
      </w:r>
      <w:r w:rsidR="0028184D">
        <w:t>The PI</w:t>
      </w:r>
      <w:r w:rsidR="0028184D" w:rsidRPr="00893A96">
        <w:t xml:space="preserve"> shall be responsible for the following activities</w:t>
      </w:r>
      <w:r w:rsidR="0028184D" w:rsidRPr="00893A96">
        <w:rPr>
          <w:rFonts w:cs="Calibri"/>
        </w:rPr>
        <w:t xml:space="preserve">: </w:t>
      </w:r>
      <w:r w:rsidR="00E54A87" w:rsidRPr="001C50F2">
        <w:rPr>
          <w:rFonts w:cs="Arial"/>
        </w:rPr>
        <w:t>(</w:t>
      </w:r>
      <w:r w:rsidR="00E54A87" w:rsidRPr="001C50F2">
        <w:rPr>
          <w:rFonts w:cs="Arial"/>
          <w:b/>
        </w:rPr>
        <w:t>MANDATORY LANGUAGE</w:t>
      </w:r>
      <w:r w:rsidR="00E54A87" w:rsidRPr="001C50F2">
        <w:rPr>
          <w:rFonts w:cs="Arial"/>
        </w:rPr>
        <w:t>)</w:t>
      </w:r>
    </w:p>
    <w:p w14:paraId="3B6A6463" w14:textId="39701254" w:rsidR="00DE2804" w:rsidRDefault="00673229" w:rsidP="008D1D57">
      <w:pPr>
        <w:pStyle w:val="ListParagraph"/>
        <w:numPr>
          <w:ilvl w:val="0"/>
          <w:numId w:val="3"/>
        </w:numPr>
        <w:autoSpaceDE w:val="0"/>
        <w:autoSpaceDN w:val="0"/>
        <w:adjustRightInd w:val="0"/>
        <w:spacing w:after="0" w:line="240" w:lineRule="auto"/>
        <w:ind w:left="1080"/>
        <w:rPr>
          <w:rFonts w:cstheme="minorHAnsi"/>
        </w:rPr>
      </w:pPr>
      <w:r>
        <w:rPr>
          <w:rFonts w:cs="Arial"/>
        </w:rPr>
        <w:t>P</w:t>
      </w:r>
      <w:r w:rsidR="00DE2804">
        <w:rPr>
          <w:rFonts w:cs="Arial"/>
        </w:rPr>
        <w:t>rotec</w:t>
      </w:r>
      <w:r w:rsidR="00D804FF">
        <w:rPr>
          <w:rFonts w:cs="Arial"/>
        </w:rPr>
        <w:t>t</w:t>
      </w:r>
      <w:r w:rsidR="007853BF">
        <w:rPr>
          <w:rFonts w:cs="Arial"/>
        </w:rPr>
        <w:t>s</w:t>
      </w:r>
      <w:r w:rsidR="00DE2804">
        <w:rPr>
          <w:rFonts w:cs="Arial"/>
        </w:rPr>
        <w:t xml:space="preserve"> the rights, safety, and welfare of subjects </w:t>
      </w:r>
      <w:r w:rsidR="007A0426">
        <w:rPr>
          <w:rFonts w:cs="Arial"/>
        </w:rPr>
        <w:t xml:space="preserve">participating in the </w:t>
      </w:r>
      <w:r w:rsidR="007853BF">
        <w:rPr>
          <w:rFonts w:cs="Arial"/>
        </w:rPr>
        <w:t>clinical trial</w:t>
      </w:r>
    </w:p>
    <w:p w14:paraId="644AE1D9" w14:textId="390C7493" w:rsidR="00AF6830" w:rsidRDefault="00E75FB7" w:rsidP="008D1D57">
      <w:pPr>
        <w:pStyle w:val="ListParagraph"/>
        <w:numPr>
          <w:ilvl w:val="0"/>
          <w:numId w:val="3"/>
        </w:numPr>
        <w:autoSpaceDE w:val="0"/>
        <w:autoSpaceDN w:val="0"/>
        <w:adjustRightInd w:val="0"/>
        <w:spacing w:after="0" w:line="240" w:lineRule="auto"/>
        <w:ind w:left="1080"/>
        <w:rPr>
          <w:rFonts w:cstheme="minorHAnsi"/>
        </w:rPr>
      </w:pPr>
      <w:r>
        <w:rPr>
          <w:rFonts w:cstheme="minorHAnsi"/>
        </w:rPr>
        <w:t>Designates</w:t>
      </w:r>
      <w:r w:rsidR="001764B6">
        <w:rPr>
          <w:rFonts w:cstheme="minorHAnsi"/>
        </w:rPr>
        <w:t xml:space="preserve"> </w:t>
      </w:r>
      <w:r>
        <w:rPr>
          <w:rFonts w:cstheme="minorHAnsi"/>
        </w:rPr>
        <w:t>the</w:t>
      </w:r>
      <w:r w:rsidR="00ED4FE1">
        <w:rPr>
          <w:rFonts w:cstheme="minorHAnsi"/>
        </w:rPr>
        <w:t xml:space="preserve"> </w:t>
      </w:r>
      <w:r w:rsidR="00D804FF">
        <w:rPr>
          <w:rFonts w:cstheme="minorHAnsi"/>
        </w:rPr>
        <w:t>mechanism</w:t>
      </w:r>
      <w:r>
        <w:rPr>
          <w:rFonts w:cstheme="minorHAnsi"/>
        </w:rPr>
        <w:t xml:space="preserve"> that </w:t>
      </w:r>
      <w:r w:rsidR="00D804FF">
        <w:rPr>
          <w:rFonts w:cstheme="minorHAnsi"/>
        </w:rPr>
        <w:t xml:space="preserve">will be used for monitoring subjects and identifying </w:t>
      </w:r>
      <w:r w:rsidR="001764B6">
        <w:rPr>
          <w:rFonts w:cstheme="minorHAnsi"/>
        </w:rPr>
        <w:t>AEs</w:t>
      </w:r>
      <w:r w:rsidR="005C2040">
        <w:rPr>
          <w:rFonts w:cstheme="minorHAnsi"/>
        </w:rPr>
        <w:t>, SAEs, UADEs, and UaPs</w:t>
      </w:r>
      <w:r w:rsidR="00D804FF">
        <w:rPr>
          <w:rFonts w:cstheme="minorHAnsi"/>
        </w:rPr>
        <w:t xml:space="preserve"> </w:t>
      </w:r>
    </w:p>
    <w:p w14:paraId="41863B71" w14:textId="5DAB86F0" w:rsidR="000D712A" w:rsidRPr="00AF6830" w:rsidRDefault="000D712A" w:rsidP="008D1D57">
      <w:pPr>
        <w:pStyle w:val="ListParagraph"/>
        <w:numPr>
          <w:ilvl w:val="0"/>
          <w:numId w:val="3"/>
        </w:numPr>
        <w:autoSpaceDE w:val="0"/>
        <w:autoSpaceDN w:val="0"/>
        <w:adjustRightInd w:val="0"/>
        <w:spacing w:after="0" w:line="240" w:lineRule="auto"/>
        <w:ind w:left="1080"/>
        <w:rPr>
          <w:rFonts w:cstheme="minorHAnsi"/>
        </w:rPr>
      </w:pPr>
      <w:r w:rsidRPr="006C60FD">
        <w:rPr>
          <w:rFonts w:cstheme="minorHAnsi"/>
        </w:rPr>
        <w:t>Manages AEs</w:t>
      </w:r>
      <w:r w:rsidR="005C2040">
        <w:rPr>
          <w:rFonts w:cstheme="minorHAnsi"/>
        </w:rPr>
        <w:t xml:space="preserve">, SAEs, UADEs, and UaPs </w:t>
      </w:r>
      <w:r w:rsidRPr="006C60FD">
        <w:rPr>
          <w:rFonts w:cstheme="minorHAnsi"/>
        </w:rPr>
        <w:t xml:space="preserve">and follows up until resolved or </w:t>
      </w:r>
      <w:r>
        <w:rPr>
          <w:rFonts w:cstheme="minorHAnsi"/>
        </w:rPr>
        <w:t>the follow-up requirements of the protocol</w:t>
      </w:r>
      <w:r w:rsidR="001C4862">
        <w:rPr>
          <w:rFonts w:cstheme="minorHAnsi"/>
        </w:rPr>
        <w:t xml:space="preserve"> have been met</w:t>
      </w:r>
    </w:p>
    <w:p w14:paraId="50DC1421" w14:textId="77777777" w:rsidR="00C45D19" w:rsidRPr="00C45D19" w:rsidRDefault="00C45D19" w:rsidP="008D1D57">
      <w:pPr>
        <w:pStyle w:val="ListParagraph"/>
        <w:numPr>
          <w:ilvl w:val="0"/>
          <w:numId w:val="3"/>
        </w:numPr>
        <w:autoSpaceDE w:val="0"/>
        <w:autoSpaceDN w:val="0"/>
        <w:adjustRightInd w:val="0"/>
        <w:spacing w:after="0" w:line="240" w:lineRule="auto"/>
        <w:ind w:left="1080"/>
        <w:rPr>
          <w:rStyle w:val="cf01"/>
          <w:rFonts w:asciiTheme="minorHAnsi" w:hAnsiTheme="minorHAnsi" w:cstheme="minorHAnsi"/>
          <w:sz w:val="22"/>
          <w:szCs w:val="22"/>
        </w:rPr>
      </w:pPr>
      <w:r>
        <w:rPr>
          <w:rStyle w:val="cf01"/>
        </w:rPr>
        <w:t>Determines the relatedness, expectedness, severity and seriousness of the AE, SAE, UADE, or UaP</w:t>
      </w:r>
    </w:p>
    <w:p w14:paraId="56A97D77" w14:textId="3C7404DB" w:rsidR="00AF6830" w:rsidRDefault="00957D91" w:rsidP="008D1D57">
      <w:pPr>
        <w:pStyle w:val="ListParagraph"/>
        <w:numPr>
          <w:ilvl w:val="0"/>
          <w:numId w:val="3"/>
        </w:numPr>
        <w:autoSpaceDE w:val="0"/>
        <w:autoSpaceDN w:val="0"/>
        <w:adjustRightInd w:val="0"/>
        <w:spacing w:after="0" w:line="240" w:lineRule="auto"/>
        <w:ind w:left="1080"/>
        <w:rPr>
          <w:rFonts w:cstheme="minorHAnsi"/>
        </w:rPr>
      </w:pPr>
      <w:r>
        <w:rPr>
          <w:rFonts w:cstheme="minorHAnsi"/>
        </w:rPr>
        <w:t>Determines</w:t>
      </w:r>
      <w:r w:rsidR="0067175C">
        <w:rPr>
          <w:rFonts w:cstheme="minorHAnsi"/>
        </w:rPr>
        <w:t xml:space="preserve"> whether the AE meets the definition of a SUSAR</w:t>
      </w:r>
      <w:r>
        <w:rPr>
          <w:rFonts w:cstheme="minorHAnsi"/>
        </w:rPr>
        <w:t>, when</w:t>
      </w:r>
      <w:r w:rsidR="001956F1">
        <w:rPr>
          <w:rFonts w:cstheme="minorHAnsi"/>
        </w:rPr>
        <w:t xml:space="preserve"> the clinical </w:t>
      </w:r>
      <w:r w:rsidR="00214188">
        <w:rPr>
          <w:rFonts w:cstheme="minorHAnsi"/>
        </w:rPr>
        <w:t>trial is</w:t>
      </w:r>
      <w:r>
        <w:rPr>
          <w:rFonts w:cstheme="minorHAnsi"/>
        </w:rPr>
        <w:t xml:space="preserve"> FDA-regulated</w:t>
      </w:r>
    </w:p>
    <w:p w14:paraId="53263655" w14:textId="29805368" w:rsidR="0028184D" w:rsidRPr="00405F99" w:rsidRDefault="009A6990" w:rsidP="008D1D57">
      <w:pPr>
        <w:pStyle w:val="ListParagraph"/>
        <w:numPr>
          <w:ilvl w:val="0"/>
          <w:numId w:val="3"/>
        </w:numPr>
        <w:autoSpaceDE w:val="0"/>
        <w:autoSpaceDN w:val="0"/>
        <w:adjustRightInd w:val="0"/>
        <w:spacing w:after="0" w:line="240" w:lineRule="auto"/>
        <w:ind w:left="1080"/>
        <w:rPr>
          <w:rFonts w:cstheme="minorHAnsi"/>
        </w:rPr>
      </w:pPr>
      <w:r w:rsidRPr="00405F99">
        <w:rPr>
          <w:rFonts w:cstheme="minorHAnsi"/>
        </w:rPr>
        <w:t>Ensures</w:t>
      </w:r>
      <w:r w:rsidR="007853BF" w:rsidRPr="00405F99">
        <w:rPr>
          <w:rFonts w:cstheme="minorHAnsi"/>
        </w:rPr>
        <w:t xml:space="preserve"> that </w:t>
      </w:r>
      <w:r w:rsidR="00FA4737" w:rsidRPr="00405F99">
        <w:rPr>
          <w:rFonts w:cstheme="minorHAnsi"/>
        </w:rPr>
        <w:t>AE</w:t>
      </w:r>
      <w:r w:rsidR="00AF6830">
        <w:rPr>
          <w:rFonts w:cstheme="minorHAnsi"/>
        </w:rPr>
        <w:t>s</w:t>
      </w:r>
      <w:r w:rsidR="003E0559">
        <w:rPr>
          <w:rFonts w:cstheme="minorHAnsi"/>
        </w:rPr>
        <w:t xml:space="preserve">, </w:t>
      </w:r>
      <w:r w:rsidR="00FA4737" w:rsidRPr="00405F99">
        <w:rPr>
          <w:rFonts w:cstheme="minorHAnsi"/>
        </w:rPr>
        <w:t>SAEs</w:t>
      </w:r>
      <w:r w:rsidR="003E0559">
        <w:rPr>
          <w:rFonts w:cstheme="minorHAnsi"/>
        </w:rPr>
        <w:t>,</w:t>
      </w:r>
      <w:r w:rsidR="00E0505D">
        <w:rPr>
          <w:rFonts w:cstheme="minorHAnsi"/>
        </w:rPr>
        <w:t xml:space="preserve"> </w:t>
      </w:r>
      <w:r w:rsidR="004A7D3F">
        <w:rPr>
          <w:rFonts w:cstheme="minorHAnsi"/>
        </w:rPr>
        <w:t>UADEs</w:t>
      </w:r>
      <w:r w:rsidR="003E0559">
        <w:rPr>
          <w:rFonts w:cstheme="minorHAnsi"/>
        </w:rPr>
        <w:t xml:space="preserve">, and </w:t>
      </w:r>
      <w:r w:rsidR="004A7D3F">
        <w:rPr>
          <w:rFonts w:cstheme="minorHAnsi"/>
        </w:rPr>
        <w:t>UaPs</w:t>
      </w:r>
      <w:r w:rsidR="00FA4737" w:rsidRPr="00405F99">
        <w:rPr>
          <w:rFonts w:cstheme="minorHAnsi"/>
        </w:rPr>
        <w:t xml:space="preserve"> are reported to the</w:t>
      </w:r>
      <w:r w:rsidR="00A0123B" w:rsidRPr="00405F99">
        <w:rPr>
          <w:rFonts w:cstheme="minorHAnsi"/>
        </w:rPr>
        <w:t xml:space="preserve"> sponsor (and to the </w:t>
      </w:r>
      <w:r w:rsidR="00A75C54">
        <w:rPr>
          <w:rFonts w:cstheme="minorHAnsi"/>
        </w:rPr>
        <w:t>FDA if the clinical trial</w:t>
      </w:r>
      <w:r w:rsidR="007853BF" w:rsidRPr="00405F99">
        <w:rPr>
          <w:rFonts w:cstheme="minorHAnsi"/>
        </w:rPr>
        <w:t xml:space="preserve"> is investigato</w:t>
      </w:r>
      <w:r w:rsidR="00D804FF" w:rsidRPr="00405F99">
        <w:rPr>
          <w:rFonts w:cstheme="minorHAnsi"/>
        </w:rPr>
        <w:t>r</w:t>
      </w:r>
      <w:r w:rsidR="007853BF" w:rsidRPr="00405F99">
        <w:rPr>
          <w:rFonts w:cstheme="minorHAnsi"/>
        </w:rPr>
        <w:t>-</w:t>
      </w:r>
      <w:r w:rsidR="00A0123B" w:rsidRPr="00405F99">
        <w:rPr>
          <w:rFonts w:cstheme="minorHAnsi"/>
        </w:rPr>
        <w:t>initiated</w:t>
      </w:r>
      <w:r w:rsidR="001764B6">
        <w:rPr>
          <w:rFonts w:cstheme="minorHAnsi"/>
        </w:rPr>
        <w:t>)</w:t>
      </w:r>
      <w:r w:rsidR="00A0123B" w:rsidRPr="00405F99">
        <w:rPr>
          <w:rFonts w:cstheme="minorHAnsi"/>
        </w:rPr>
        <w:t xml:space="preserve">, to the IRB, and to the Data Safety </w:t>
      </w:r>
      <w:r w:rsidR="00AF6830">
        <w:rPr>
          <w:rFonts w:cstheme="minorHAnsi"/>
        </w:rPr>
        <w:t>Monitoring Board, if applicable</w:t>
      </w:r>
    </w:p>
    <w:p w14:paraId="37F2A3ED" w14:textId="77777777" w:rsidR="00F03CE2" w:rsidRDefault="007853BF" w:rsidP="00CD2BD4">
      <w:pPr>
        <w:pStyle w:val="ListParagraph"/>
        <w:numPr>
          <w:ilvl w:val="0"/>
          <w:numId w:val="3"/>
        </w:numPr>
        <w:autoSpaceDE w:val="0"/>
        <w:autoSpaceDN w:val="0"/>
        <w:adjustRightInd w:val="0"/>
        <w:spacing w:after="0" w:line="240" w:lineRule="auto"/>
        <w:ind w:left="1080"/>
        <w:rPr>
          <w:rFonts w:cstheme="minorHAnsi"/>
        </w:rPr>
      </w:pPr>
      <w:r>
        <w:rPr>
          <w:rFonts w:cstheme="minorHAnsi"/>
        </w:rPr>
        <w:t xml:space="preserve">Ensures </w:t>
      </w:r>
      <w:r w:rsidR="00A0123B" w:rsidRPr="0028184D">
        <w:rPr>
          <w:rFonts w:cstheme="minorHAnsi"/>
        </w:rPr>
        <w:t>that the IND</w:t>
      </w:r>
      <w:r w:rsidR="005618BC">
        <w:rPr>
          <w:rFonts w:cstheme="minorHAnsi"/>
        </w:rPr>
        <w:t>/IDE</w:t>
      </w:r>
      <w:r w:rsidR="00A0123B" w:rsidRPr="0028184D">
        <w:rPr>
          <w:rFonts w:cstheme="minorHAnsi"/>
        </w:rPr>
        <w:t xml:space="preserve"> Safety Report information is reported to the </w:t>
      </w:r>
      <w:r w:rsidR="008D1D57">
        <w:rPr>
          <w:rFonts w:cstheme="minorHAnsi"/>
        </w:rPr>
        <w:t>c</w:t>
      </w:r>
      <w:r w:rsidR="001764B6">
        <w:rPr>
          <w:rFonts w:cstheme="minorHAnsi"/>
        </w:rPr>
        <w:t>o</w:t>
      </w:r>
      <w:r w:rsidR="002700AD" w:rsidRPr="0028184D">
        <w:rPr>
          <w:rFonts w:cstheme="minorHAnsi"/>
        </w:rPr>
        <w:t>-</w:t>
      </w:r>
      <w:r w:rsidR="00A0123B" w:rsidRPr="0028184D">
        <w:rPr>
          <w:rFonts w:cstheme="minorHAnsi"/>
        </w:rPr>
        <w:t>investigators</w:t>
      </w:r>
      <w:r w:rsidR="00FA4737" w:rsidRPr="0028184D">
        <w:rPr>
          <w:rFonts w:cstheme="minorHAnsi"/>
        </w:rPr>
        <w:t xml:space="preserve"> </w:t>
      </w:r>
      <w:r w:rsidR="00A0123B" w:rsidRPr="0028184D">
        <w:rPr>
          <w:rFonts w:cstheme="minorHAnsi"/>
        </w:rPr>
        <w:t xml:space="preserve">on the </w:t>
      </w:r>
      <w:r w:rsidR="00D804FF">
        <w:rPr>
          <w:rFonts w:cstheme="minorHAnsi"/>
        </w:rPr>
        <w:t xml:space="preserve">clinical </w:t>
      </w:r>
      <w:r w:rsidR="00A0123B" w:rsidRPr="0028184D">
        <w:rPr>
          <w:rFonts w:cstheme="minorHAnsi"/>
        </w:rPr>
        <w:t>trial</w:t>
      </w:r>
    </w:p>
    <w:p w14:paraId="0FB88290" w14:textId="6FD8C34E" w:rsidR="00CD2BD4" w:rsidRDefault="00F40446" w:rsidP="00A5045C">
      <w:pPr>
        <w:pStyle w:val="ListParagraph"/>
        <w:numPr>
          <w:ilvl w:val="0"/>
          <w:numId w:val="3"/>
        </w:numPr>
        <w:autoSpaceDE w:val="0"/>
        <w:autoSpaceDN w:val="0"/>
        <w:adjustRightInd w:val="0"/>
        <w:spacing w:after="0" w:line="240" w:lineRule="auto"/>
        <w:ind w:left="1080"/>
        <w:rPr>
          <w:rFonts w:cstheme="minorHAnsi"/>
        </w:rPr>
      </w:pPr>
      <w:r>
        <w:rPr>
          <w:rFonts w:cstheme="minorHAnsi"/>
        </w:rPr>
        <w:t>Submits n</w:t>
      </w:r>
      <w:r w:rsidR="00E67334">
        <w:rPr>
          <w:rFonts w:cstheme="minorHAnsi"/>
        </w:rPr>
        <w:t xml:space="preserve">otification of </w:t>
      </w:r>
      <w:r w:rsidR="003162F4">
        <w:rPr>
          <w:rFonts w:cstheme="minorHAnsi"/>
        </w:rPr>
        <w:t>AEs, SAEs, UADEs, and UaPs</w:t>
      </w:r>
      <w:r w:rsidR="00E67334">
        <w:rPr>
          <w:rFonts w:cstheme="minorHAnsi"/>
        </w:rPr>
        <w:t xml:space="preserve"> to</w:t>
      </w:r>
      <w:r w:rsidR="00F03CE2" w:rsidRPr="00CD2BD4">
        <w:rPr>
          <w:rFonts w:cstheme="minorHAnsi"/>
        </w:rPr>
        <w:t xml:space="preserve"> the DSMB, local and central IRBs, sponsor, etc., This </w:t>
      </w:r>
      <w:r w:rsidR="00E67334">
        <w:rPr>
          <w:rFonts w:cstheme="minorHAnsi"/>
        </w:rPr>
        <w:t>includes</w:t>
      </w:r>
      <w:r w:rsidR="00F03CE2" w:rsidRPr="00CD2BD4">
        <w:rPr>
          <w:rFonts w:cstheme="minorHAnsi"/>
        </w:rPr>
        <w:t xml:space="preserve"> the preparation and submission of annual and/or progress reports. </w:t>
      </w:r>
    </w:p>
    <w:p w14:paraId="56CC293A" w14:textId="37111991" w:rsidR="003162F4" w:rsidRDefault="003162F4" w:rsidP="003162F4">
      <w:pPr>
        <w:pStyle w:val="ListParagraph"/>
        <w:numPr>
          <w:ilvl w:val="0"/>
          <w:numId w:val="3"/>
        </w:numPr>
        <w:autoSpaceDE w:val="0"/>
        <w:autoSpaceDN w:val="0"/>
        <w:adjustRightInd w:val="0"/>
        <w:spacing w:after="0" w:line="240" w:lineRule="auto"/>
        <w:ind w:left="1080"/>
        <w:rPr>
          <w:rFonts w:cstheme="minorHAnsi"/>
        </w:rPr>
      </w:pPr>
      <w:r w:rsidRPr="003162F4">
        <w:rPr>
          <w:rFonts w:cstheme="minorHAnsi"/>
        </w:rPr>
        <w:t>Reports SAEs utilizing Medwatch in FDA-regulated clinical trials</w:t>
      </w:r>
    </w:p>
    <w:p w14:paraId="4FBD5B8C" w14:textId="067D272E" w:rsidR="006360B5" w:rsidRPr="00CD2BD4" w:rsidRDefault="00820609" w:rsidP="00A5045C">
      <w:pPr>
        <w:pStyle w:val="ListParagraph"/>
        <w:numPr>
          <w:ilvl w:val="0"/>
          <w:numId w:val="3"/>
        </w:numPr>
        <w:autoSpaceDE w:val="0"/>
        <w:autoSpaceDN w:val="0"/>
        <w:adjustRightInd w:val="0"/>
        <w:spacing w:after="0" w:line="240" w:lineRule="auto"/>
        <w:ind w:left="1080"/>
        <w:rPr>
          <w:rFonts w:cstheme="minorHAnsi"/>
        </w:rPr>
      </w:pPr>
      <w:r w:rsidRPr="00CD2BD4">
        <w:rPr>
          <w:rFonts w:cstheme="minorHAnsi"/>
        </w:rPr>
        <w:t>Manage</w:t>
      </w:r>
      <w:r w:rsidR="006360B5" w:rsidRPr="00CD2BD4">
        <w:rPr>
          <w:rFonts w:cstheme="minorHAnsi"/>
        </w:rPr>
        <w:t>s and</w:t>
      </w:r>
      <w:r w:rsidRPr="00CD2BD4">
        <w:rPr>
          <w:rFonts w:cstheme="minorHAnsi"/>
        </w:rPr>
        <w:t xml:space="preserve"> review</w:t>
      </w:r>
      <w:r w:rsidR="006360B5" w:rsidRPr="00CD2BD4">
        <w:rPr>
          <w:rFonts w:cstheme="minorHAnsi"/>
        </w:rPr>
        <w:t>s</w:t>
      </w:r>
      <w:r w:rsidRPr="00CD2BD4">
        <w:rPr>
          <w:rFonts w:cstheme="minorHAnsi"/>
        </w:rPr>
        <w:t xml:space="preserve"> safety reports</w:t>
      </w:r>
      <w:r w:rsidR="006360B5" w:rsidRPr="00CD2BD4">
        <w:rPr>
          <w:rFonts w:cstheme="minorHAnsi"/>
        </w:rPr>
        <w:t xml:space="preserve"> received from the sponsor and submits </w:t>
      </w:r>
      <w:r w:rsidR="00055E27" w:rsidRPr="00CD2BD4">
        <w:rPr>
          <w:rFonts w:cstheme="minorHAnsi"/>
        </w:rPr>
        <w:t>to the IRB</w:t>
      </w:r>
      <w:r w:rsidR="0035509D" w:rsidRPr="00CD2BD4">
        <w:rPr>
          <w:rFonts w:cstheme="minorHAnsi"/>
        </w:rPr>
        <w:t xml:space="preserve"> as deemed necessary</w:t>
      </w:r>
      <w:r w:rsidR="00A5045C" w:rsidRPr="00CD2BD4">
        <w:rPr>
          <w:rFonts w:cstheme="minorHAnsi"/>
        </w:rPr>
        <w:t xml:space="preserve"> </w:t>
      </w:r>
    </w:p>
    <w:p w14:paraId="41CC9E01" w14:textId="605D8559" w:rsidR="00B77683" w:rsidRPr="00A5045C" w:rsidRDefault="00B77683" w:rsidP="00F03CE2">
      <w:pPr>
        <w:pStyle w:val="ListParagraph"/>
        <w:numPr>
          <w:ilvl w:val="1"/>
          <w:numId w:val="3"/>
        </w:numPr>
        <w:autoSpaceDE w:val="0"/>
        <w:autoSpaceDN w:val="0"/>
        <w:adjustRightInd w:val="0"/>
        <w:spacing w:after="0" w:line="240" w:lineRule="auto"/>
        <w:rPr>
          <w:rFonts w:cstheme="minorHAnsi"/>
        </w:rPr>
      </w:pPr>
      <w:r>
        <w:rPr>
          <w:rFonts w:cstheme="minorHAnsi"/>
        </w:rPr>
        <w:t>Submits amended/updated protocols or other documents received from the sponsor to the IRB as necessary</w:t>
      </w:r>
    </w:p>
    <w:p w14:paraId="227EF837" w14:textId="695D03E8" w:rsidR="00825145" w:rsidRDefault="00825145" w:rsidP="008D1D57">
      <w:pPr>
        <w:pStyle w:val="ListParagraph"/>
        <w:numPr>
          <w:ilvl w:val="0"/>
          <w:numId w:val="3"/>
        </w:numPr>
        <w:autoSpaceDE w:val="0"/>
        <w:autoSpaceDN w:val="0"/>
        <w:adjustRightInd w:val="0"/>
        <w:spacing w:after="0" w:line="240" w:lineRule="auto"/>
        <w:ind w:left="1080"/>
        <w:rPr>
          <w:rFonts w:cstheme="minorHAnsi"/>
        </w:rPr>
      </w:pPr>
      <w:r>
        <w:rPr>
          <w:rFonts w:cstheme="minorHAnsi"/>
        </w:rPr>
        <w:t>Del</w:t>
      </w:r>
      <w:r w:rsidR="00A75C54">
        <w:rPr>
          <w:rFonts w:cstheme="minorHAnsi"/>
        </w:rPr>
        <w:t>egates activities to other research</w:t>
      </w:r>
      <w:r>
        <w:rPr>
          <w:rFonts w:cstheme="minorHAnsi"/>
        </w:rPr>
        <w:t xml:space="preserve"> team members, as appropriate</w:t>
      </w:r>
    </w:p>
    <w:p w14:paraId="7E3CFABD" w14:textId="77777777" w:rsidR="00E54A87" w:rsidRPr="001C50F2" w:rsidRDefault="00E54A87" w:rsidP="00E54A87">
      <w:pPr>
        <w:spacing w:after="0" w:line="240" w:lineRule="auto"/>
        <w:ind w:left="720" w:right="936"/>
        <w:rPr>
          <w:rFonts w:ascii="Calibri" w:eastAsia="Calibri" w:hAnsi="Calibri" w:cs="Calibri"/>
        </w:rPr>
      </w:pPr>
      <w:r w:rsidRPr="001C50F2">
        <w:rPr>
          <w:rFonts w:cs="Arial"/>
        </w:rPr>
        <w:t>(</w:t>
      </w:r>
      <w:r w:rsidRPr="001C50F2">
        <w:rPr>
          <w:rFonts w:cs="Arial"/>
          <w:b/>
        </w:rPr>
        <w:t>MANDATORY LANGUAGE</w:t>
      </w:r>
      <w:r w:rsidRPr="001C50F2">
        <w:rPr>
          <w:rFonts w:cs="Arial"/>
        </w:rPr>
        <w:t>)</w:t>
      </w:r>
    </w:p>
    <w:p w14:paraId="22AB0FF7" w14:textId="77777777" w:rsidR="00223800" w:rsidRPr="008D5E59" w:rsidRDefault="00223800" w:rsidP="00E54A87">
      <w:pPr>
        <w:widowControl w:val="0"/>
        <w:autoSpaceDE w:val="0"/>
        <w:autoSpaceDN w:val="0"/>
        <w:adjustRightInd w:val="0"/>
        <w:spacing w:after="0" w:line="240" w:lineRule="auto"/>
        <w:ind w:right="720"/>
        <w:rPr>
          <w:rFonts w:cs="Calibri"/>
          <w:color w:val="00B0F0"/>
        </w:rPr>
      </w:pPr>
    </w:p>
    <w:p w14:paraId="0A26F7C6" w14:textId="12A7E859" w:rsidR="00223800" w:rsidRPr="00B068E2" w:rsidRDefault="00223800" w:rsidP="00223800">
      <w:pPr>
        <w:widowControl w:val="0"/>
        <w:autoSpaceDE w:val="0"/>
        <w:autoSpaceDN w:val="0"/>
        <w:adjustRightInd w:val="0"/>
        <w:spacing w:after="0" w:line="240" w:lineRule="auto"/>
        <w:ind w:left="360" w:right="720"/>
        <w:rPr>
          <w:rFonts w:cs="Calibri"/>
          <w:i/>
          <w:color w:val="00B0F0"/>
        </w:rPr>
      </w:pPr>
      <w:r w:rsidRPr="0024775D">
        <w:rPr>
          <w:rFonts w:cs="Calibri"/>
          <w:i/>
          <w:color w:val="00B0F0"/>
        </w:rPr>
        <w:t>[</w:t>
      </w:r>
      <w:r>
        <w:rPr>
          <w:rFonts w:cs="Calibri"/>
          <w:i/>
          <w:color w:val="00B0F0"/>
        </w:rPr>
        <w:t xml:space="preserve">Optional: Insert any additional </w:t>
      </w:r>
      <w:r w:rsidRPr="0024775D">
        <w:rPr>
          <w:rFonts w:cs="Calibri"/>
          <w:i/>
          <w:color w:val="00B0F0"/>
        </w:rPr>
        <w:t>details regarding the responsibi</w:t>
      </w:r>
      <w:r>
        <w:rPr>
          <w:rFonts w:cs="Calibri"/>
          <w:i/>
          <w:color w:val="00B0F0"/>
        </w:rPr>
        <w:t>lities of the Principal</w:t>
      </w:r>
      <w:r w:rsidR="006A4EE1">
        <w:rPr>
          <w:rFonts w:cs="Calibri"/>
          <w:i/>
          <w:color w:val="00B0F0"/>
        </w:rPr>
        <w:t xml:space="preserve"> Investigator</w:t>
      </w:r>
      <w:r>
        <w:rPr>
          <w:rFonts w:cs="Calibri"/>
          <w:i/>
          <w:color w:val="00B0F0"/>
        </w:rPr>
        <w:t>/Designee</w:t>
      </w:r>
      <w:r>
        <w:rPr>
          <w:rFonts w:cs="Calibri"/>
          <w:color w:val="00B0F0"/>
        </w:rPr>
        <w:t>]</w:t>
      </w:r>
    </w:p>
    <w:p w14:paraId="788BC67F" w14:textId="77777777" w:rsidR="006E4003" w:rsidRDefault="006E4003" w:rsidP="00E54A87">
      <w:pPr>
        <w:autoSpaceDE w:val="0"/>
        <w:autoSpaceDN w:val="0"/>
        <w:adjustRightInd w:val="0"/>
        <w:spacing w:after="0" w:line="240" w:lineRule="auto"/>
        <w:ind w:left="288" w:firstLine="72"/>
        <w:rPr>
          <w:b/>
        </w:rPr>
      </w:pPr>
    </w:p>
    <w:p w14:paraId="7C0D639C" w14:textId="22BED735" w:rsidR="00B36515" w:rsidRDefault="00B36515" w:rsidP="00B36515">
      <w:pPr>
        <w:spacing w:after="0" w:line="240" w:lineRule="auto"/>
        <w:ind w:right="-20" w:firstLine="360"/>
        <w:rPr>
          <w:b/>
        </w:rPr>
      </w:pPr>
      <w:r>
        <w:rPr>
          <w:b/>
        </w:rPr>
        <w:t>Sponsor</w:t>
      </w:r>
      <w:r w:rsidR="00515A7E">
        <w:rPr>
          <w:b/>
        </w:rPr>
        <w:t>-</w:t>
      </w:r>
      <w:r w:rsidRPr="006014E7">
        <w:rPr>
          <w:b/>
        </w:rPr>
        <w:t>Investigator</w:t>
      </w:r>
    </w:p>
    <w:p w14:paraId="7D6BE098" w14:textId="2A0D5810" w:rsidR="00B36515" w:rsidRDefault="00403872" w:rsidP="00B36515">
      <w:pPr>
        <w:autoSpaceDE w:val="0"/>
        <w:autoSpaceDN w:val="0"/>
        <w:adjustRightInd w:val="0"/>
        <w:spacing w:after="0" w:line="240" w:lineRule="auto"/>
        <w:ind w:left="360"/>
      </w:pPr>
      <w:r w:rsidRPr="00403872">
        <w:t>A</w:t>
      </w:r>
      <w:r w:rsidR="009A7A89">
        <w:t>n</w:t>
      </w:r>
      <w:r w:rsidRPr="00403872">
        <w:t xml:space="preserve"> Investigator filling the role of the Sponsor</w:t>
      </w:r>
      <w:r w:rsidR="00866F66">
        <w:t>-</w:t>
      </w:r>
      <w:r w:rsidRPr="00403872">
        <w:t xml:space="preserve">Investigator assumes the responsibilities of the Principal Investigator as described above and in addition, is responsible for the following:  </w:t>
      </w:r>
      <w:r w:rsidR="00867409" w:rsidRPr="00F14445">
        <w:rPr>
          <w:b/>
        </w:rPr>
        <w:t>(MANDATORY LANGUAGE)</w:t>
      </w:r>
    </w:p>
    <w:p w14:paraId="135D958E" w14:textId="1EA88CDB" w:rsidR="003A3C72" w:rsidRPr="00293977" w:rsidRDefault="003A3C72" w:rsidP="0031772E">
      <w:pPr>
        <w:pStyle w:val="ListParagraph"/>
        <w:numPr>
          <w:ilvl w:val="0"/>
          <w:numId w:val="3"/>
        </w:numPr>
        <w:autoSpaceDE w:val="0"/>
        <w:autoSpaceDN w:val="0"/>
        <w:adjustRightInd w:val="0"/>
        <w:spacing w:after="0" w:line="240" w:lineRule="auto"/>
        <w:ind w:left="1080"/>
        <w:rPr>
          <w:rFonts w:cstheme="minorHAnsi"/>
        </w:rPr>
      </w:pPr>
      <w:r w:rsidRPr="0031772E">
        <w:rPr>
          <w:rFonts w:cstheme="minorHAnsi"/>
        </w:rPr>
        <w:t>Ensures that the IND/IDE Safety Report information is reported to the FDA according to</w:t>
      </w:r>
      <w:r w:rsidR="00F40446" w:rsidRPr="0031772E">
        <w:rPr>
          <w:rFonts w:cstheme="minorHAnsi"/>
        </w:rPr>
        <w:t xml:space="preserve"> the timelines specified within pertinent </w:t>
      </w:r>
      <w:r w:rsidRPr="00293977">
        <w:rPr>
          <w:rFonts w:cstheme="minorHAnsi"/>
        </w:rPr>
        <w:t>federal regulations</w:t>
      </w:r>
    </w:p>
    <w:p w14:paraId="04A501CD" w14:textId="09D915C3" w:rsidR="005C6AE4" w:rsidRPr="005C6AE4" w:rsidRDefault="003A3C72" w:rsidP="00B23F13">
      <w:pPr>
        <w:pStyle w:val="ListParagraph"/>
        <w:numPr>
          <w:ilvl w:val="0"/>
          <w:numId w:val="3"/>
        </w:numPr>
        <w:autoSpaceDE w:val="0"/>
        <w:autoSpaceDN w:val="0"/>
        <w:adjustRightInd w:val="0"/>
        <w:spacing w:after="0" w:line="240" w:lineRule="auto"/>
        <w:ind w:left="1080"/>
        <w:rPr>
          <w:rFonts w:cs="Calibri"/>
        </w:rPr>
      </w:pPr>
      <w:r w:rsidRPr="00867409">
        <w:rPr>
          <w:rFonts w:cstheme="minorHAnsi"/>
        </w:rPr>
        <w:t>Ensures that all</w:t>
      </w:r>
      <w:r>
        <w:t xml:space="preserve"> unexpected</w:t>
      </w:r>
      <w:r w:rsidR="00F40446">
        <w:t>,</w:t>
      </w:r>
      <w:r>
        <w:t xml:space="preserve"> </w:t>
      </w:r>
      <w:r w:rsidR="00812903">
        <w:t>fatal,</w:t>
      </w:r>
      <w:r>
        <w:t xml:space="preserve"> or life-threatening suspected adverse reactions are reported to the FDA as soon as possible and </w:t>
      </w:r>
      <w:r w:rsidRPr="00867409">
        <w:rPr>
          <w:rFonts w:cstheme="minorHAnsi"/>
        </w:rPr>
        <w:t xml:space="preserve">within the timeframes specified </w:t>
      </w:r>
      <w:r w:rsidR="00F40446">
        <w:rPr>
          <w:rFonts w:cstheme="minorHAnsi"/>
        </w:rPr>
        <w:t xml:space="preserve">in the applicable </w:t>
      </w:r>
      <w:r w:rsidRPr="00867409">
        <w:rPr>
          <w:rFonts w:cstheme="minorHAnsi"/>
        </w:rPr>
        <w:t>federal regulations</w:t>
      </w:r>
    </w:p>
    <w:p w14:paraId="0CC25B61" w14:textId="18CB5772" w:rsidR="00471719" w:rsidRPr="00471719" w:rsidRDefault="005C6AE4" w:rsidP="00471719">
      <w:pPr>
        <w:pStyle w:val="ListParagraph"/>
        <w:numPr>
          <w:ilvl w:val="0"/>
          <w:numId w:val="3"/>
        </w:numPr>
        <w:autoSpaceDE w:val="0"/>
        <w:autoSpaceDN w:val="0"/>
        <w:adjustRightInd w:val="0"/>
        <w:spacing w:after="0" w:line="240" w:lineRule="auto"/>
        <w:ind w:left="1080"/>
        <w:rPr>
          <w:rFonts w:cs="Calibri"/>
        </w:rPr>
      </w:pPr>
      <w:r w:rsidRPr="005C6AE4">
        <w:rPr>
          <w:rFonts w:cstheme="minorHAnsi"/>
        </w:rPr>
        <w:t>Amends the protocol and/or the Investigator’s Brochure (IB), etc. when serving as the Sponsor</w:t>
      </w:r>
      <w:r w:rsidR="00866F66">
        <w:rPr>
          <w:rFonts w:cstheme="minorHAnsi"/>
        </w:rPr>
        <w:t>-</w:t>
      </w:r>
      <w:r w:rsidRPr="005C6AE4">
        <w:rPr>
          <w:rFonts w:cstheme="minorHAnsi"/>
        </w:rPr>
        <w:t>Investigator (</w:t>
      </w:r>
      <w:hyperlink r:id="rId12" w:history="1">
        <w:r w:rsidRPr="0031772E">
          <w:rPr>
            <w:rStyle w:val="Hyperlink"/>
            <w:rFonts w:cstheme="minorHAnsi"/>
            <w:color w:val="auto"/>
          </w:rPr>
          <w:t>See reporting guidelines from</w:t>
        </w:r>
        <w:r w:rsidR="0031772E">
          <w:rPr>
            <w:rStyle w:val="Hyperlink"/>
            <w:rFonts w:cstheme="minorHAnsi"/>
            <w:color w:val="auto"/>
          </w:rPr>
          <w:t xml:space="preserve"> the</w:t>
        </w:r>
        <w:r w:rsidRPr="0031772E">
          <w:rPr>
            <w:rStyle w:val="Hyperlink"/>
            <w:rFonts w:cstheme="minorHAnsi"/>
            <w:color w:val="auto"/>
          </w:rPr>
          <w:t xml:space="preserve"> IRBMED</w:t>
        </w:r>
      </w:hyperlink>
      <w:r w:rsidR="0031772E" w:rsidRPr="0031772E">
        <w:rPr>
          <w:rStyle w:val="Hyperlink"/>
          <w:rFonts w:cstheme="minorHAnsi"/>
          <w:color w:val="auto"/>
        </w:rPr>
        <w:t xml:space="preserve"> below</w:t>
      </w:r>
      <w:r w:rsidRPr="0031772E">
        <w:rPr>
          <w:rFonts w:cstheme="minorHAnsi"/>
        </w:rPr>
        <w:t>)</w:t>
      </w:r>
    </w:p>
    <w:p w14:paraId="6FE554E0" w14:textId="5555E3F7" w:rsidR="005C6AE4" w:rsidRDefault="005C6AE4" w:rsidP="005C6AE4">
      <w:pPr>
        <w:pStyle w:val="ListParagraph"/>
        <w:numPr>
          <w:ilvl w:val="0"/>
          <w:numId w:val="3"/>
        </w:numPr>
        <w:autoSpaceDE w:val="0"/>
        <w:autoSpaceDN w:val="0"/>
        <w:adjustRightInd w:val="0"/>
        <w:spacing w:after="0" w:line="240" w:lineRule="auto"/>
        <w:ind w:left="1080"/>
        <w:rPr>
          <w:rFonts w:cstheme="minorHAnsi"/>
        </w:rPr>
      </w:pPr>
      <w:r>
        <w:rPr>
          <w:rFonts w:cstheme="minorHAnsi"/>
        </w:rPr>
        <w:t xml:space="preserve">Ensures </w:t>
      </w:r>
      <w:r w:rsidRPr="0028184D">
        <w:rPr>
          <w:rFonts w:cstheme="minorHAnsi"/>
        </w:rPr>
        <w:t>that the IND</w:t>
      </w:r>
      <w:r>
        <w:rPr>
          <w:rFonts w:cstheme="minorHAnsi"/>
        </w:rPr>
        <w:t>/IDE</w:t>
      </w:r>
      <w:r w:rsidRPr="0028184D">
        <w:rPr>
          <w:rFonts w:cstheme="minorHAnsi"/>
        </w:rPr>
        <w:t xml:space="preserve"> Safety Report information is reported to </w:t>
      </w:r>
      <w:r>
        <w:rPr>
          <w:rFonts w:cstheme="minorHAnsi"/>
        </w:rPr>
        <w:t xml:space="preserve">all participating </w:t>
      </w:r>
      <w:r w:rsidRPr="0028184D">
        <w:rPr>
          <w:rFonts w:cstheme="minorHAnsi"/>
        </w:rPr>
        <w:t xml:space="preserve">investigators on the </w:t>
      </w:r>
      <w:r>
        <w:rPr>
          <w:rFonts w:cstheme="minorHAnsi"/>
        </w:rPr>
        <w:t xml:space="preserve">clinical </w:t>
      </w:r>
      <w:r w:rsidRPr="0028184D">
        <w:rPr>
          <w:rFonts w:cstheme="minorHAnsi"/>
        </w:rPr>
        <w:t>trial</w:t>
      </w:r>
    </w:p>
    <w:p w14:paraId="5B174E0D" w14:textId="5B31C669" w:rsidR="00126C35" w:rsidRPr="00126C35" w:rsidRDefault="001548DD" w:rsidP="00126C35">
      <w:pPr>
        <w:pStyle w:val="ListParagraph"/>
        <w:numPr>
          <w:ilvl w:val="0"/>
          <w:numId w:val="3"/>
        </w:numPr>
        <w:autoSpaceDE w:val="0"/>
        <w:autoSpaceDN w:val="0"/>
        <w:adjustRightInd w:val="0"/>
        <w:spacing w:after="0" w:line="240" w:lineRule="auto"/>
        <w:rPr>
          <w:rFonts w:cstheme="minorHAnsi"/>
        </w:rPr>
      </w:pPr>
      <w:r>
        <w:rPr>
          <w:rFonts w:cstheme="minorHAnsi"/>
        </w:rPr>
        <w:t xml:space="preserve">Notifies </w:t>
      </w:r>
      <w:r w:rsidRPr="00126C35">
        <w:rPr>
          <w:rFonts w:cstheme="minorHAnsi"/>
        </w:rPr>
        <w:t>FDA</w:t>
      </w:r>
      <w:r w:rsidR="00126C35" w:rsidRPr="00126C35">
        <w:rPr>
          <w:rFonts w:cstheme="minorHAnsi"/>
        </w:rPr>
        <w:t xml:space="preserve"> and all participating investigators in an IND safety report of potential serious risks, from clinical trials or any other source, as soon as possible, but in no case later than 15 calendar days after the sponsor determines that the information qualifies for reporting under paragraph </w:t>
      </w:r>
      <w:r w:rsidR="00515A7E">
        <w:rPr>
          <w:rFonts w:cstheme="minorHAnsi"/>
        </w:rPr>
        <w:t xml:space="preserve">FDA CFR21.32 </w:t>
      </w:r>
      <w:r w:rsidR="00126C35" w:rsidRPr="00126C35">
        <w:rPr>
          <w:rFonts w:cstheme="minorHAnsi"/>
        </w:rPr>
        <w:t xml:space="preserve">(c)(1)(i), (c)(1)(ii), (c)(1)(iii), or (c)(1)(iv) of this section. In each IND safety report, the sponsor must identify all IND safety reports previously submitted to FDA concerning a similar suspected adverse </w:t>
      </w:r>
      <w:r w:rsidR="00D134CD" w:rsidRPr="00126C35">
        <w:rPr>
          <w:rFonts w:cstheme="minorHAnsi"/>
        </w:rPr>
        <w:t>reaction and</w:t>
      </w:r>
      <w:r w:rsidR="00126C35" w:rsidRPr="00126C35">
        <w:rPr>
          <w:rFonts w:cstheme="minorHAnsi"/>
        </w:rPr>
        <w:t xml:space="preserve"> must analyze the significance of the suspected adverse reaction </w:t>
      </w:r>
      <w:proofErr w:type="gramStart"/>
      <w:r w:rsidR="00126C35" w:rsidRPr="00126C35">
        <w:rPr>
          <w:rFonts w:cstheme="minorHAnsi"/>
        </w:rPr>
        <w:t>in light of</w:t>
      </w:r>
      <w:proofErr w:type="gramEnd"/>
      <w:r w:rsidR="00126C35" w:rsidRPr="00126C35">
        <w:rPr>
          <w:rFonts w:cstheme="minorHAnsi"/>
        </w:rPr>
        <w:t xml:space="preserve"> previous, similar reports or any other relevant information.</w:t>
      </w:r>
    </w:p>
    <w:p w14:paraId="3C59C2D8" w14:textId="77777777" w:rsidR="0031772E" w:rsidRPr="00293977" w:rsidRDefault="005C6AE4" w:rsidP="005C6AE4">
      <w:pPr>
        <w:pStyle w:val="ListParagraph"/>
        <w:numPr>
          <w:ilvl w:val="0"/>
          <w:numId w:val="3"/>
        </w:numPr>
        <w:autoSpaceDE w:val="0"/>
        <w:autoSpaceDN w:val="0"/>
        <w:adjustRightInd w:val="0"/>
        <w:spacing w:after="0" w:line="240" w:lineRule="auto"/>
        <w:ind w:left="1080"/>
        <w:rPr>
          <w:rFonts w:cstheme="minorHAnsi"/>
        </w:rPr>
      </w:pPr>
      <w:r w:rsidRPr="00293977">
        <w:rPr>
          <w:rFonts w:cstheme="minorHAnsi"/>
        </w:rPr>
        <w:t>Delegates activities to other research team members, as appropriate</w:t>
      </w:r>
    </w:p>
    <w:p w14:paraId="561E41FD" w14:textId="08BA87D4" w:rsidR="005C6AE4" w:rsidRPr="00293977" w:rsidRDefault="0031772E" w:rsidP="005C6AE4">
      <w:pPr>
        <w:pStyle w:val="ListParagraph"/>
        <w:numPr>
          <w:ilvl w:val="0"/>
          <w:numId w:val="3"/>
        </w:numPr>
        <w:autoSpaceDE w:val="0"/>
        <w:autoSpaceDN w:val="0"/>
        <w:adjustRightInd w:val="0"/>
        <w:spacing w:after="0" w:line="240" w:lineRule="auto"/>
        <w:ind w:left="1080"/>
        <w:rPr>
          <w:rFonts w:cstheme="minorHAnsi"/>
        </w:rPr>
      </w:pPr>
      <w:r w:rsidRPr="00293977">
        <w:rPr>
          <w:rFonts w:cstheme="minorHAnsi"/>
        </w:rPr>
        <w:t>Work with the</w:t>
      </w:r>
      <w:r w:rsidR="00293977" w:rsidRPr="00293977">
        <w:rPr>
          <w:rFonts w:cstheme="minorHAnsi"/>
        </w:rPr>
        <w:t xml:space="preserve"> </w:t>
      </w:r>
      <w:r w:rsidR="00293977" w:rsidRPr="00293977">
        <w:rPr>
          <w:rFonts w:cstheme="minorHAnsi"/>
          <w:color w:val="000000"/>
          <w:shd w:val="clear" w:color="auto" w:fill="FFFFFF"/>
        </w:rPr>
        <w:t>MICHR IND/IDE Investigator Assistance Program</w:t>
      </w:r>
      <w:r w:rsidR="00293977" w:rsidRPr="00293977">
        <w:rPr>
          <w:rFonts w:cstheme="minorHAnsi"/>
        </w:rPr>
        <w:t xml:space="preserve"> (</w:t>
      </w:r>
      <w:r w:rsidRPr="00293977">
        <w:rPr>
          <w:rFonts w:cstheme="minorHAnsi"/>
        </w:rPr>
        <w:t>MIAP</w:t>
      </w:r>
      <w:r w:rsidR="00293977" w:rsidRPr="00293977">
        <w:rPr>
          <w:rFonts w:cstheme="minorHAnsi"/>
        </w:rPr>
        <w:t>)</w:t>
      </w:r>
      <w:r w:rsidRPr="00293977">
        <w:rPr>
          <w:rFonts w:cstheme="minorHAnsi"/>
        </w:rPr>
        <w:t xml:space="preserve"> team for all FDA IND and IDE trials</w:t>
      </w:r>
    </w:p>
    <w:p w14:paraId="012F487B" w14:textId="31C2BF9F" w:rsidR="00867409" w:rsidRDefault="00867409" w:rsidP="00867409">
      <w:pPr>
        <w:spacing w:after="0" w:line="240" w:lineRule="auto"/>
        <w:ind w:left="779" w:right="936"/>
        <w:rPr>
          <w:rFonts w:cs="Arial"/>
        </w:rPr>
      </w:pPr>
      <w:r w:rsidRPr="001C50F2">
        <w:rPr>
          <w:rFonts w:cs="Arial"/>
        </w:rPr>
        <w:t>(</w:t>
      </w:r>
      <w:r w:rsidRPr="001C50F2">
        <w:rPr>
          <w:rFonts w:cs="Arial"/>
          <w:b/>
        </w:rPr>
        <w:t>MANDATORY LANGUAGE</w:t>
      </w:r>
      <w:r w:rsidRPr="001C50F2">
        <w:rPr>
          <w:rFonts w:cs="Arial"/>
        </w:rPr>
        <w:t>)</w:t>
      </w:r>
    </w:p>
    <w:p w14:paraId="173DF794" w14:textId="77777777" w:rsidR="00867409" w:rsidRPr="001C50F2" w:rsidRDefault="00867409" w:rsidP="00867409">
      <w:pPr>
        <w:spacing w:after="0" w:line="240" w:lineRule="auto"/>
        <w:ind w:left="779" w:right="936"/>
        <w:rPr>
          <w:rFonts w:ascii="Calibri" w:eastAsia="Calibri" w:hAnsi="Calibri" w:cs="Calibri"/>
        </w:rPr>
      </w:pPr>
    </w:p>
    <w:p w14:paraId="10034B70" w14:textId="0F2CEBF3" w:rsidR="00E847BA" w:rsidRPr="00B068E2" w:rsidRDefault="00867409" w:rsidP="00867409">
      <w:pPr>
        <w:widowControl w:val="0"/>
        <w:autoSpaceDE w:val="0"/>
        <w:autoSpaceDN w:val="0"/>
        <w:adjustRightInd w:val="0"/>
        <w:spacing w:after="0" w:line="240" w:lineRule="auto"/>
        <w:ind w:left="360" w:right="720"/>
        <w:rPr>
          <w:rFonts w:cs="Calibri"/>
          <w:i/>
          <w:color w:val="00B0F0"/>
        </w:rPr>
      </w:pPr>
      <w:r w:rsidRPr="0024775D">
        <w:rPr>
          <w:rFonts w:cs="Calibri"/>
          <w:i/>
          <w:color w:val="00B0F0"/>
        </w:rPr>
        <w:t xml:space="preserve"> </w:t>
      </w:r>
      <w:r w:rsidR="00E847BA" w:rsidRPr="0024775D">
        <w:rPr>
          <w:rFonts w:cs="Calibri"/>
          <w:i/>
          <w:color w:val="00B0F0"/>
        </w:rPr>
        <w:t>[</w:t>
      </w:r>
      <w:r w:rsidR="00E847BA">
        <w:rPr>
          <w:rFonts w:cs="Calibri"/>
          <w:i/>
          <w:color w:val="00B0F0"/>
        </w:rPr>
        <w:t xml:space="preserve">Optional: Insert any additional </w:t>
      </w:r>
      <w:r w:rsidR="00E847BA" w:rsidRPr="0024775D">
        <w:rPr>
          <w:rFonts w:cs="Calibri"/>
          <w:i/>
          <w:color w:val="00B0F0"/>
        </w:rPr>
        <w:t>details regarding the responsibi</w:t>
      </w:r>
      <w:r w:rsidR="00E847BA">
        <w:rPr>
          <w:rFonts w:cs="Calibri"/>
          <w:i/>
          <w:color w:val="00B0F0"/>
        </w:rPr>
        <w:t>lities of the Sponsor</w:t>
      </w:r>
      <w:r w:rsidR="00866F66">
        <w:rPr>
          <w:rFonts w:cs="Calibri"/>
          <w:i/>
          <w:color w:val="00B0F0"/>
        </w:rPr>
        <w:t>-</w:t>
      </w:r>
      <w:r w:rsidR="00E847BA">
        <w:rPr>
          <w:rFonts w:cs="Calibri"/>
          <w:i/>
          <w:color w:val="00B0F0"/>
        </w:rPr>
        <w:t xml:space="preserve"> Investigator</w:t>
      </w:r>
      <w:r w:rsidR="00E847BA">
        <w:rPr>
          <w:rFonts w:cs="Calibri"/>
          <w:color w:val="00B0F0"/>
        </w:rPr>
        <w:t>]</w:t>
      </w:r>
    </w:p>
    <w:p w14:paraId="74AC5812" w14:textId="77777777" w:rsidR="00B36515" w:rsidRDefault="00B36515" w:rsidP="00B36515">
      <w:pPr>
        <w:autoSpaceDE w:val="0"/>
        <w:autoSpaceDN w:val="0"/>
        <w:adjustRightInd w:val="0"/>
        <w:spacing w:after="0" w:line="240" w:lineRule="auto"/>
        <w:ind w:left="288" w:firstLine="72"/>
        <w:rPr>
          <w:rFonts w:cs="Calibri"/>
        </w:rPr>
      </w:pPr>
    </w:p>
    <w:p w14:paraId="42770B2B" w14:textId="5267D6E8" w:rsidR="00F021CE" w:rsidRPr="006014E7" w:rsidRDefault="00F021CE" w:rsidP="00B36515">
      <w:pPr>
        <w:autoSpaceDE w:val="0"/>
        <w:autoSpaceDN w:val="0"/>
        <w:adjustRightInd w:val="0"/>
        <w:spacing w:after="0" w:line="240" w:lineRule="auto"/>
        <w:ind w:left="288" w:firstLine="72"/>
        <w:rPr>
          <w:b/>
        </w:rPr>
      </w:pPr>
      <w:r w:rsidRPr="006014E7">
        <w:rPr>
          <w:b/>
        </w:rPr>
        <w:t>Study Coordinator</w:t>
      </w:r>
      <w:r w:rsidR="00AD5B7A">
        <w:rPr>
          <w:b/>
        </w:rPr>
        <w:t>(s)</w:t>
      </w:r>
      <w:r w:rsidR="001235A4" w:rsidRPr="006014E7">
        <w:rPr>
          <w:b/>
        </w:rPr>
        <w:t>/Designee</w:t>
      </w:r>
    </w:p>
    <w:p w14:paraId="2F643E66" w14:textId="4F56438B" w:rsidR="000D704F" w:rsidRPr="00E54A87" w:rsidRDefault="000D704F" w:rsidP="00E54A87">
      <w:pPr>
        <w:spacing w:after="0" w:line="240" w:lineRule="auto"/>
        <w:ind w:left="360" w:right="936"/>
        <w:rPr>
          <w:rFonts w:ascii="Calibri" w:eastAsia="Calibri" w:hAnsi="Calibri" w:cs="Calibri"/>
        </w:rPr>
      </w:pPr>
      <w:r w:rsidRPr="00893A96">
        <w:t xml:space="preserve">An individual filling </w:t>
      </w:r>
      <w:r w:rsidR="00405F99">
        <w:t xml:space="preserve">this role </w:t>
      </w:r>
      <w:r>
        <w:rPr>
          <w:rFonts w:cstheme="minorHAnsi"/>
        </w:rPr>
        <w:t>may be responsible for the following activities:</w:t>
      </w:r>
      <w:r w:rsidR="00E54A87">
        <w:rPr>
          <w:rFonts w:cstheme="minorHAnsi"/>
        </w:rPr>
        <w:t xml:space="preserve"> </w:t>
      </w:r>
      <w:r w:rsidR="00E54A87" w:rsidRPr="001C50F2">
        <w:rPr>
          <w:rFonts w:cs="Arial"/>
        </w:rPr>
        <w:t>(</w:t>
      </w:r>
      <w:r w:rsidR="00E54A87" w:rsidRPr="001C50F2">
        <w:rPr>
          <w:rFonts w:cs="Arial"/>
          <w:b/>
        </w:rPr>
        <w:t>MANDATORY LANGUAGE</w:t>
      </w:r>
      <w:r w:rsidR="00E54A87" w:rsidRPr="001C50F2">
        <w:rPr>
          <w:rFonts w:cs="Arial"/>
        </w:rPr>
        <w:t>)</w:t>
      </w:r>
    </w:p>
    <w:p w14:paraId="5E1A2FFA" w14:textId="065C2B95" w:rsidR="000D704F" w:rsidRDefault="00673229" w:rsidP="000D704F">
      <w:pPr>
        <w:pStyle w:val="ListParagraph"/>
        <w:numPr>
          <w:ilvl w:val="0"/>
          <w:numId w:val="4"/>
        </w:numPr>
        <w:autoSpaceDE w:val="0"/>
        <w:autoSpaceDN w:val="0"/>
        <w:adjustRightInd w:val="0"/>
        <w:spacing w:after="0" w:line="240" w:lineRule="auto"/>
        <w:rPr>
          <w:rFonts w:cstheme="minorHAnsi"/>
        </w:rPr>
      </w:pPr>
      <w:r>
        <w:rPr>
          <w:rFonts w:cstheme="minorHAnsi"/>
        </w:rPr>
        <w:t>S</w:t>
      </w:r>
      <w:r w:rsidR="000D704F" w:rsidRPr="000D704F">
        <w:rPr>
          <w:rFonts w:cstheme="minorHAnsi"/>
        </w:rPr>
        <w:t>creen</w:t>
      </w:r>
      <w:r w:rsidR="007853BF">
        <w:rPr>
          <w:rFonts w:cstheme="minorHAnsi"/>
        </w:rPr>
        <w:t>s</w:t>
      </w:r>
      <w:r w:rsidR="00D804FF">
        <w:rPr>
          <w:rFonts w:cstheme="minorHAnsi"/>
        </w:rPr>
        <w:t xml:space="preserve"> </w:t>
      </w:r>
      <w:r w:rsidR="00E7646F" w:rsidRPr="000D704F">
        <w:rPr>
          <w:rFonts w:cstheme="minorHAnsi"/>
        </w:rPr>
        <w:t xml:space="preserve">for </w:t>
      </w:r>
      <w:r w:rsidR="004339A0">
        <w:rPr>
          <w:rFonts w:cstheme="minorHAnsi"/>
        </w:rPr>
        <w:t>AEs</w:t>
      </w:r>
      <w:r w:rsidR="0048115B">
        <w:rPr>
          <w:rFonts w:cstheme="minorHAnsi"/>
        </w:rPr>
        <w:t xml:space="preserve">, </w:t>
      </w:r>
      <w:r w:rsidR="005618BC">
        <w:rPr>
          <w:rFonts w:cstheme="minorHAnsi"/>
        </w:rPr>
        <w:t>SAEs,</w:t>
      </w:r>
      <w:r w:rsidR="001013E5">
        <w:rPr>
          <w:rFonts w:cstheme="minorHAnsi"/>
        </w:rPr>
        <w:t xml:space="preserve"> UADEs,</w:t>
      </w:r>
      <w:r w:rsidR="005618BC">
        <w:rPr>
          <w:rFonts w:cstheme="minorHAnsi"/>
        </w:rPr>
        <w:t xml:space="preserve"> and UaPs </w:t>
      </w:r>
      <w:r w:rsidR="00E7646F" w:rsidRPr="000D704F">
        <w:rPr>
          <w:rFonts w:cstheme="minorHAnsi"/>
        </w:rPr>
        <w:t xml:space="preserve">on an ongoing basis using </w:t>
      </w:r>
      <w:r w:rsidR="005618BC">
        <w:rPr>
          <w:rFonts w:cstheme="minorHAnsi"/>
        </w:rPr>
        <w:t>subject</w:t>
      </w:r>
      <w:r w:rsidR="00E7646F" w:rsidRPr="000D704F">
        <w:rPr>
          <w:rFonts w:cstheme="minorHAnsi"/>
        </w:rPr>
        <w:t>-reported history,</w:t>
      </w:r>
      <w:r w:rsidR="000D704F" w:rsidRPr="000D704F">
        <w:rPr>
          <w:rFonts w:cstheme="minorHAnsi"/>
        </w:rPr>
        <w:t xml:space="preserve"> physical examination, </w:t>
      </w:r>
      <w:r w:rsidR="00E7646F" w:rsidRPr="000D704F">
        <w:rPr>
          <w:rFonts w:cstheme="minorHAnsi"/>
        </w:rPr>
        <w:t>laboratory data, chart review and other available data for</w:t>
      </w:r>
      <w:r w:rsidR="004C0405" w:rsidRPr="000D704F">
        <w:rPr>
          <w:rFonts w:cstheme="minorHAnsi"/>
        </w:rPr>
        <w:t xml:space="preserve"> </w:t>
      </w:r>
      <w:r w:rsidR="00E7646F" w:rsidRPr="000D704F">
        <w:rPr>
          <w:rFonts w:cstheme="minorHAnsi"/>
        </w:rPr>
        <w:t>each patient enrolled in a clinical trial</w:t>
      </w:r>
      <w:r w:rsidR="00E7646F" w:rsidRPr="00E77D64">
        <w:rPr>
          <w:rFonts w:cstheme="minorHAnsi"/>
        </w:rPr>
        <w:t xml:space="preserve"> </w:t>
      </w:r>
    </w:p>
    <w:p w14:paraId="3158E469" w14:textId="66BD0726" w:rsidR="000D704F" w:rsidRPr="000D704F" w:rsidRDefault="00673229" w:rsidP="000D704F">
      <w:pPr>
        <w:pStyle w:val="ListParagraph"/>
        <w:numPr>
          <w:ilvl w:val="0"/>
          <w:numId w:val="4"/>
        </w:numPr>
        <w:autoSpaceDE w:val="0"/>
        <w:autoSpaceDN w:val="0"/>
        <w:adjustRightInd w:val="0"/>
        <w:spacing w:after="0" w:line="240" w:lineRule="auto"/>
        <w:rPr>
          <w:rFonts w:cstheme="minorHAnsi"/>
        </w:rPr>
      </w:pPr>
      <w:r>
        <w:t>P</w:t>
      </w:r>
      <w:r w:rsidR="00965786">
        <w:t>rovid</w:t>
      </w:r>
      <w:r w:rsidR="007853BF">
        <w:t>es</w:t>
      </w:r>
      <w:r w:rsidR="00965786">
        <w:t xml:space="preserve"> follow-up information on all AE</w:t>
      </w:r>
      <w:r w:rsidR="00204892">
        <w:t>s</w:t>
      </w:r>
      <w:r w:rsidR="005618BC">
        <w:t>, SAEs</w:t>
      </w:r>
      <w:r w:rsidR="00965786">
        <w:t>,</w:t>
      </w:r>
      <w:r w:rsidR="001013E5">
        <w:t xml:space="preserve"> </w:t>
      </w:r>
      <w:r w:rsidR="001013E5">
        <w:rPr>
          <w:rFonts w:cstheme="minorHAnsi"/>
        </w:rPr>
        <w:t xml:space="preserve">UADEs, </w:t>
      </w:r>
      <w:r w:rsidR="005618BC">
        <w:t>and UaPs</w:t>
      </w:r>
      <w:r w:rsidR="00965786">
        <w:t xml:space="preserve"> until resolution or an appropriate end point is reached</w:t>
      </w:r>
    </w:p>
    <w:p w14:paraId="517681AB" w14:textId="121588A4" w:rsidR="00722ED2" w:rsidRDefault="00D76F19" w:rsidP="000D704F">
      <w:pPr>
        <w:pStyle w:val="ListParagraph"/>
        <w:numPr>
          <w:ilvl w:val="0"/>
          <w:numId w:val="4"/>
        </w:numPr>
        <w:autoSpaceDE w:val="0"/>
        <w:autoSpaceDN w:val="0"/>
        <w:adjustRightInd w:val="0"/>
        <w:spacing w:after="0" w:line="240" w:lineRule="auto"/>
        <w:rPr>
          <w:rFonts w:cstheme="minorHAnsi"/>
        </w:rPr>
      </w:pPr>
      <w:r w:rsidRPr="000D704F">
        <w:rPr>
          <w:rFonts w:cstheme="minorHAnsi"/>
        </w:rPr>
        <w:t>Manag</w:t>
      </w:r>
      <w:r>
        <w:rPr>
          <w:rFonts w:cstheme="minorHAnsi"/>
        </w:rPr>
        <w:t>es</w:t>
      </w:r>
      <w:r w:rsidR="005618BC">
        <w:rPr>
          <w:rFonts w:cstheme="minorHAnsi"/>
        </w:rPr>
        <w:t xml:space="preserve"> and maintains documentation related to</w:t>
      </w:r>
      <w:r w:rsidR="000864F2" w:rsidRPr="000D704F">
        <w:rPr>
          <w:rFonts w:cstheme="minorHAnsi"/>
        </w:rPr>
        <w:t xml:space="preserve"> AE</w:t>
      </w:r>
      <w:r w:rsidR="004A7D3F">
        <w:rPr>
          <w:rFonts w:cstheme="minorHAnsi"/>
        </w:rPr>
        <w:t>s</w:t>
      </w:r>
      <w:r w:rsidR="000864F2" w:rsidRPr="000D704F">
        <w:rPr>
          <w:rFonts w:cstheme="minorHAnsi"/>
        </w:rPr>
        <w:t>/SAE</w:t>
      </w:r>
      <w:r w:rsidR="004A7D3F">
        <w:rPr>
          <w:rFonts w:cstheme="minorHAnsi"/>
        </w:rPr>
        <w:t>s</w:t>
      </w:r>
      <w:r w:rsidR="00BA3842">
        <w:rPr>
          <w:rFonts w:cstheme="minorHAnsi"/>
        </w:rPr>
        <w:t>/</w:t>
      </w:r>
      <w:r w:rsidR="001013E5">
        <w:rPr>
          <w:rFonts w:cstheme="minorHAnsi"/>
        </w:rPr>
        <w:t>UADE</w:t>
      </w:r>
      <w:r w:rsidR="004A7D3F">
        <w:rPr>
          <w:rFonts w:cstheme="minorHAnsi"/>
        </w:rPr>
        <w:t>s</w:t>
      </w:r>
      <w:r w:rsidR="001013E5">
        <w:rPr>
          <w:rFonts w:cstheme="minorHAnsi"/>
        </w:rPr>
        <w:t>/</w:t>
      </w:r>
      <w:r w:rsidR="00BA3842">
        <w:rPr>
          <w:rFonts w:cstheme="minorHAnsi"/>
        </w:rPr>
        <w:t>UaP</w:t>
      </w:r>
      <w:r w:rsidR="004A7D3F">
        <w:rPr>
          <w:rFonts w:cstheme="minorHAnsi"/>
        </w:rPr>
        <w:t>s</w:t>
      </w:r>
      <w:r w:rsidR="00BA3842">
        <w:rPr>
          <w:rFonts w:cstheme="minorHAnsi"/>
        </w:rPr>
        <w:t xml:space="preserve"> </w:t>
      </w:r>
      <w:r w:rsidR="000864F2" w:rsidRPr="000D704F">
        <w:rPr>
          <w:rFonts w:cstheme="minorHAnsi"/>
        </w:rPr>
        <w:t xml:space="preserve">submissions to the </w:t>
      </w:r>
      <w:r w:rsidR="00204892" w:rsidRPr="000D704F">
        <w:rPr>
          <w:rFonts w:cstheme="minorHAnsi"/>
        </w:rPr>
        <w:t>IRB</w:t>
      </w:r>
      <w:r w:rsidR="00D804FF">
        <w:rPr>
          <w:rFonts w:cstheme="minorHAnsi"/>
        </w:rPr>
        <w:t xml:space="preserve"> and other regulatory authorities</w:t>
      </w:r>
    </w:p>
    <w:p w14:paraId="51D37E99" w14:textId="1F958B07" w:rsidR="00820609" w:rsidRDefault="00820609" w:rsidP="000D704F">
      <w:pPr>
        <w:pStyle w:val="ListParagraph"/>
        <w:numPr>
          <w:ilvl w:val="0"/>
          <w:numId w:val="4"/>
        </w:numPr>
        <w:autoSpaceDE w:val="0"/>
        <w:autoSpaceDN w:val="0"/>
        <w:adjustRightInd w:val="0"/>
        <w:spacing w:after="0" w:line="240" w:lineRule="auto"/>
        <w:rPr>
          <w:rFonts w:cstheme="minorHAnsi"/>
        </w:rPr>
      </w:pPr>
      <w:r>
        <w:rPr>
          <w:rFonts w:cstheme="minorHAnsi"/>
        </w:rPr>
        <w:t xml:space="preserve">Facilitates the management, </w:t>
      </w:r>
      <w:r w:rsidR="008859BB">
        <w:rPr>
          <w:rFonts w:cstheme="minorHAnsi"/>
        </w:rPr>
        <w:t>review,</w:t>
      </w:r>
      <w:r>
        <w:rPr>
          <w:rFonts w:cstheme="minorHAnsi"/>
        </w:rPr>
        <w:t xml:space="preserve"> and submission of external sponsor safety reports </w:t>
      </w:r>
      <w:r w:rsidR="006360B5">
        <w:rPr>
          <w:rFonts w:cstheme="minorHAnsi"/>
        </w:rPr>
        <w:t>to the IRB</w:t>
      </w:r>
    </w:p>
    <w:p w14:paraId="6B789BA3" w14:textId="77777777" w:rsidR="00E54A87" w:rsidRPr="001C50F2" w:rsidRDefault="00E54A87" w:rsidP="00E54A87">
      <w:pPr>
        <w:spacing w:after="0" w:line="240" w:lineRule="auto"/>
        <w:ind w:left="779" w:right="936"/>
        <w:rPr>
          <w:rFonts w:ascii="Calibri" w:eastAsia="Calibri" w:hAnsi="Calibri" w:cs="Calibri"/>
        </w:rPr>
      </w:pPr>
      <w:r w:rsidRPr="001C50F2">
        <w:rPr>
          <w:rFonts w:cs="Arial"/>
        </w:rPr>
        <w:t>(</w:t>
      </w:r>
      <w:r w:rsidRPr="001C50F2">
        <w:rPr>
          <w:rFonts w:cs="Arial"/>
          <w:b/>
        </w:rPr>
        <w:t>MANDATORY LANGUAGE</w:t>
      </w:r>
      <w:r w:rsidRPr="001C50F2">
        <w:rPr>
          <w:rFonts w:cs="Arial"/>
        </w:rPr>
        <w:t>)</w:t>
      </w:r>
    </w:p>
    <w:p w14:paraId="704503AE" w14:textId="77777777" w:rsidR="00223800" w:rsidRPr="008D5E59" w:rsidRDefault="00223800" w:rsidP="00223800">
      <w:pPr>
        <w:widowControl w:val="0"/>
        <w:autoSpaceDE w:val="0"/>
        <w:autoSpaceDN w:val="0"/>
        <w:adjustRightInd w:val="0"/>
        <w:spacing w:after="0" w:line="240" w:lineRule="auto"/>
        <w:ind w:left="360" w:right="720"/>
        <w:rPr>
          <w:rFonts w:cs="Calibri"/>
          <w:color w:val="00B0F0"/>
        </w:rPr>
      </w:pPr>
    </w:p>
    <w:p w14:paraId="0C11FC47" w14:textId="23841251" w:rsidR="00223800" w:rsidRPr="00B068E2" w:rsidRDefault="00223800" w:rsidP="00223800">
      <w:pPr>
        <w:widowControl w:val="0"/>
        <w:autoSpaceDE w:val="0"/>
        <w:autoSpaceDN w:val="0"/>
        <w:adjustRightInd w:val="0"/>
        <w:spacing w:after="0" w:line="240" w:lineRule="auto"/>
        <w:ind w:left="360" w:right="720"/>
        <w:rPr>
          <w:rFonts w:cs="Calibri"/>
          <w:i/>
          <w:color w:val="00B0F0"/>
        </w:rPr>
      </w:pPr>
      <w:r w:rsidRPr="0024775D">
        <w:rPr>
          <w:rFonts w:cs="Calibri"/>
          <w:i/>
          <w:color w:val="00B0F0"/>
        </w:rPr>
        <w:t>[</w:t>
      </w:r>
      <w:r>
        <w:rPr>
          <w:rFonts w:cs="Calibri"/>
          <w:i/>
          <w:color w:val="00B0F0"/>
        </w:rPr>
        <w:t xml:space="preserve">Optional: Insert any additional </w:t>
      </w:r>
      <w:r w:rsidRPr="0024775D">
        <w:rPr>
          <w:rFonts w:cs="Calibri"/>
          <w:i/>
          <w:color w:val="00B0F0"/>
        </w:rPr>
        <w:t>details regarding the responsibi</w:t>
      </w:r>
      <w:r>
        <w:rPr>
          <w:rFonts w:cs="Calibri"/>
          <w:i/>
          <w:color w:val="00B0F0"/>
        </w:rPr>
        <w:t>lities of the Study Coordinator/Designee</w:t>
      </w:r>
      <w:r>
        <w:rPr>
          <w:rFonts w:cs="Calibri"/>
          <w:color w:val="00B0F0"/>
        </w:rPr>
        <w:t>]</w:t>
      </w:r>
    </w:p>
    <w:p w14:paraId="7C1433A1" w14:textId="77777777" w:rsidR="00F021CE" w:rsidRPr="000D704F" w:rsidRDefault="00F021CE" w:rsidP="00F021CE">
      <w:pPr>
        <w:pStyle w:val="ListParagraph"/>
        <w:autoSpaceDE w:val="0"/>
        <w:autoSpaceDN w:val="0"/>
        <w:adjustRightInd w:val="0"/>
        <w:spacing w:after="0" w:line="240" w:lineRule="auto"/>
        <w:ind w:left="1139"/>
        <w:rPr>
          <w:rFonts w:cstheme="minorHAnsi"/>
        </w:rPr>
      </w:pPr>
    </w:p>
    <w:p w14:paraId="7B7C63E3" w14:textId="2EE15792" w:rsidR="00F021CE" w:rsidRPr="006014E7" w:rsidRDefault="00223800" w:rsidP="00E54A87">
      <w:pPr>
        <w:spacing w:after="0" w:line="240" w:lineRule="auto"/>
        <w:ind w:left="288" w:right="-20" w:firstLine="72"/>
        <w:rPr>
          <w:rFonts w:cstheme="minorHAnsi"/>
          <w:b/>
        </w:rPr>
      </w:pPr>
      <w:r w:rsidRPr="006014E7">
        <w:rPr>
          <w:rFonts w:cstheme="minorHAnsi"/>
          <w:b/>
        </w:rPr>
        <w:t>Co</w:t>
      </w:r>
      <w:r w:rsidR="005618BC">
        <w:rPr>
          <w:rFonts w:cstheme="minorHAnsi"/>
          <w:b/>
        </w:rPr>
        <w:t>-</w:t>
      </w:r>
      <w:r w:rsidR="00F021CE" w:rsidRPr="006014E7">
        <w:rPr>
          <w:rFonts w:cstheme="minorHAnsi"/>
          <w:b/>
        </w:rPr>
        <w:t>Investigator(s)</w:t>
      </w:r>
      <w:r w:rsidR="00FB527F">
        <w:rPr>
          <w:rFonts w:cstheme="minorHAnsi"/>
          <w:b/>
        </w:rPr>
        <w:t xml:space="preserve"> </w:t>
      </w:r>
    </w:p>
    <w:p w14:paraId="6F9DE3DE" w14:textId="323FC9E7" w:rsidR="0043512E" w:rsidRPr="00E54A87" w:rsidRDefault="0043512E" w:rsidP="00E54A87">
      <w:pPr>
        <w:spacing w:after="0" w:line="240" w:lineRule="auto"/>
        <w:ind w:left="360" w:right="936"/>
        <w:rPr>
          <w:rFonts w:ascii="Calibri" w:eastAsia="Calibri" w:hAnsi="Calibri" w:cs="Calibri"/>
        </w:rPr>
      </w:pPr>
      <w:r w:rsidRPr="00893A96">
        <w:t xml:space="preserve">An individual filling </w:t>
      </w:r>
      <w:r w:rsidR="00405F99">
        <w:t>this role</w:t>
      </w:r>
      <w:r w:rsidR="00ED4FE1">
        <w:t xml:space="preserve"> </w:t>
      </w:r>
      <w:r>
        <w:rPr>
          <w:rFonts w:cstheme="minorHAnsi"/>
        </w:rPr>
        <w:t>may be responsible for the following activities:</w:t>
      </w:r>
      <w:r w:rsidR="00E54A87">
        <w:rPr>
          <w:rFonts w:cstheme="minorHAnsi"/>
        </w:rPr>
        <w:t xml:space="preserve"> </w:t>
      </w:r>
    </w:p>
    <w:p w14:paraId="16341FE2" w14:textId="580D3045" w:rsidR="00AF6830" w:rsidRDefault="00405F99" w:rsidP="00AF6830">
      <w:pPr>
        <w:pStyle w:val="ListParagraph"/>
        <w:numPr>
          <w:ilvl w:val="0"/>
          <w:numId w:val="7"/>
        </w:numPr>
        <w:spacing w:after="0" w:line="240" w:lineRule="auto"/>
        <w:ind w:right="-20"/>
        <w:rPr>
          <w:rFonts w:cstheme="minorHAnsi"/>
        </w:rPr>
      </w:pPr>
      <w:r>
        <w:rPr>
          <w:rFonts w:cstheme="minorHAnsi"/>
        </w:rPr>
        <w:t>Notifies</w:t>
      </w:r>
      <w:r w:rsidR="00ED4FE1">
        <w:rPr>
          <w:rFonts w:cstheme="minorHAnsi"/>
        </w:rPr>
        <w:t xml:space="preserve"> </w:t>
      </w:r>
      <w:r w:rsidR="00F021CE" w:rsidRPr="00295A80">
        <w:rPr>
          <w:rFonts w:cstheme="minorHAnsi"/>
        </w:rPr>
        <w:t xml:space="preserve">the PI and </w:t>
      </w:r>
      <w:r w:rsidR="00A75C54">
        <w:rPr>
          <w:rFonts w:cstheme="minorHAnsi"/>
        </w:rPr>
        <w:t>applicable research</w:t>
      </w:r>
      <w:r w:rsidR="00D804FF" w:rsidRPr="00295A80">
        <w:rPr>
          <w:rFonts w:cstheme="minorHAnsi"/>
        </w:rPr>
        <w:t xml:space="preserve"> team members</w:t>
      </w:r>
      <w:r w:rsidR="00F021CE" w:rsidRPr="00295A80">
        <w:rPr>
          <w:rFonts w:cstheme="minorHAnsi"/>
        </w:rPr>
        <w:t xml:space="preserve"> of</w:t>
      </w:r>
      <w:r>
        <w:rPr>
          <w:rFonts w:cstheme="minorHAnsi"/>
        </w:rPr>
        <w:t xml:space="preserve"> any AE</w:t>
      </w:r>
      <w:r w:rsidR="00825145">
        <w:rPr>
          <w:rFonts w:cstheme="minorHAnsi"/>
        </w:rPr>
        <w:t>s,</w:t>
      </w:r>
      <w:r w:rsidR="0048115B">
        <w:rPr>
          <w:rFonts w:cstheme="minorHAnsi"/>
        </w:rPr>
        <w:t xml:space="preserve"> </w:t>
      </w:r>
      <w:r>
        <w:rPr>
          <w:rFonts w:cstheme="minorHAnsi"/>
        </w:rPr>
        <w:t>SAE</w:t>
      </w:r>
      <w:r w:rsidR="00825145">
        <w:rPr>
          <w:rFonts w:cstheme="minorHAnsi"/>
        </w:rPr>
        <w:t>s</w:t>
      </w:r>
      <w:r w:rsidR="00AA666C">
        <w:rPr>
          <w:rFonts w:cstheme="minorHAnsi"/>
        </w:rPr>
        <w:t>, UADEs</w:t>
      </w:r>
      <w:r w:rsidR="00825145">
        <w:rPr>
          <w:rFonts w:cstheme="minorHAnsi"/>
        </w:rPr>
        <w:t xml:space="preserve"> or UaPs</w:t>
      </w:r>
      <w:r>
        <w:rPr>
          <w:rFonts w:cstheme="minorHAnsi"/>
        </w:rPr>
        <w:t xml:space="preserve"> reported</w:t>
      </w:r>
      <w:r w:rsidR="00A75C54">
        <w:rPr>
          <w:rFonts w:cstheme="minorHAnsi"/>
        </w:rPr>
        <w:t xml:space="preserve"> during interactions with clinical trial </w:t>
      </w:r>
      <w:r w:rsidR="00825145">
        <w:rPr>
          <w:rFonts w:cstheme="minorHAnsi"/>
        </w:rPr>
        <w:t>subjects</w:t>
      </w:r>
    </w:p>
    <w:p w14:paraId="3E5958B0" w14:textId="6F1EE8CF" w:rsidR="00ED4FE1" w:rsidRPr="00E54A87" w:rsidRDefault="00097479" w:rsidP="00AF6830">
      <w:pPr>
        <w:pStyle w:val="ListParagraph"/>
        <w:numPr>
          <w:ilvl w:val="0"/>
          <w:numId w:val="7"/>
        </w:numPr>
        <w:spacing w:after="0" w:line="240" w:lineRule="auto"/>
        <w:ind w:right="-20"/>
        <w:rPr>
          <w:rFonts w:cstheme="minorHAnsi"/>
        </w:rPr>
      </w:pPr>
      <w:r>
        <w:t>D</w:t>
      </w:r>
      <w:r w:rsidR="000D712A">
        <w:t>etermine</w:t>
      </w:r>
      <w:r>
        <w:t>s</w:t>
      </w:r>
      <w:r w:rsidR="00ED4FE1" w:rsidRPr="00ED4FE1">
        <w:t xml:space="preserve"> the relatedness, expectedness, severity and seriousness of the </w:t>
      </w:r>
      <w:r w:rsidR="00825145">
        <w:t>AE</w:t>
      </w:r>
      <w:r w:rsidR="00AA666C">
        <w:t>, SAE, UADE, or UaP</w:t>
      </w:r>
      <w:r w:rsidR="00ED4FE1" w:rsidRPr="00ED4FE1">
        <w:t xml:space="preserve"> </w:t>
      </w:r>
    </w:p>
    <w:p w14:paraId="53156CC0" w14:textId="466F567A" w:rsidR="00E54A87" w:rsidRPr="00E54A87" w:rsidRDefault="00E54A87" w:rsidP="00E54A87">
      <w:pPr>
        <w:spacing w:after="0" w:line="240" w:lineRule="auto"/>
        <w:ind w:left="720" w:right="936"/>
        <w:rPr>
          <w:rFonts w:ascii="Calibri" w:eastAsia="Calibri" w:hAnsi="Calibri" w:cs="Calibri"/>
        </w:rPr>
      </w:pPr>
      <w:r w:rsidRPr="001C50F2">
        <w:rPr>
          <w:rFonts w:cs="Arial"/>
        </w:rPr>
        <w:t>(</w:t>
      </w:r>
      <w:r w:rsidRPr="001C50F2">
        <w:rPr>
          <w:rFonts w:cs="Arial"/>
          <w:b/>
        </w:rPr>
        <w:t>MANDATORY LANGUAGE</w:t>
      </w:r>
      <w:r w:rsidRPr="001C50F2">
        <w:rPr>
          <w:rFonts w:cs="Arial"/>
        </w:rPr>
        <w:t>)</w:t>
      </w:r>
    </w:p>
    <w:p w14:paraId="74A94DC1" w14:textId="77777777" w:rsidR="00ED4FE1" w:rsidRPr="008D5E59" w:rsidRDefault="00ED4FE1" w:rsidP="006014E7">
      <w:pPr>
        <w:widowControl w:val="0"/>
        <w:autoSpaceDE w:val="0"/>
        <w:autoSpaceDN w:val="0"/>
        <w:adjustRightInd w:val="0"/>
        <w:spacing w:after="0" w:line="240" w:lineRule="auto"/>
        <w:ind w:right="720"/>
        <w:rPr>
          <w:rFonts w:cs="Calibri"/>
          <w:color w:val="00B0F0"/>
        </w:rPr>
      </w:pPr>
    </w:p>
    <w:p w14:paraId="5D5B219C" w14:textId="784D3C64" w:rsidR="00223800" w:rsidRDefault="00223800" w:rsidP="00E54A87">
      <w:pPr>
        <w:widowControl w:val="0"/>
        <w:autoSpaceDE w:val="0"/>
        <w:autoSpaceDN w:val="0"/>
        <w:adjustRightInd w:val="0"/>
        <w:spacing w:after="0" w:line="240" w:lineRule="auto"/>
        <w:ind w:left="360" w:right="720"/>
        <w:rPr>
          <w:rFonts w:cs="Calibri"/>
          <w:i/>
          <w:color w:val="00B0F0"/>
        </w:rPr>
      </w:pPr>
      <w:r w:rsidRPr="0024775D">
        <w:rPr>
          <w:rFonts w:cs="Calibri"/>
          <w:i/>
          <w:color w:val="00B0F0"/>
        </w:rPr>
        <w:t>[Optional: Insert</w:t>
      </w:r>
      <w:r>
        <w:rPr>
          <w:rFonts w:cs="Calibri"/>
          <w:i/>
          <w:color w:val="00B0F0"/>
        </w:rPr>
        <w:t xml:space="preserve"> any additional </w:t>
      </w:r>
      <w:r w:rsidRPr="0024775D">
        <w:rPr>
          <w:rFonts w:cs="Calibri"/>
          <w:i/>
          <w:color w:val="00B0F0"/>
        </w:rPr>
        <w:t>details regarding the responsib</w:t>
      </w:r>
      <w:r>
        <w:rPr>
          <w:rFonts w:cs="Calibri"/>
          <w:i/>
          <w:color w:val="00B0F0"/>
        </w:rPr>
        <w:t xml:space="preserve">ilities of the </w:t>
      </w:r>
      <w:r w:rsidR="00B31113">
        <w:rPr>
          <w:rFonts w:cs="Calibri"/>
          <w:i/>
          <w:color w:val="00B0F0"/>
        </w:rPr>
        <w:t>Co</w:t>
      </w:r>
      <w:r>
        <w:rPr>
          <w:rFonts w:cs="Calibri"/>
          <w:i/>
          <w:color w:val="00B0F0"/>
        </w:rPr>
        <w:t>-Investigator/Designee]</w:t>
      </w:r>
    </w:p>
    <w:p w14:paraId="50B96F3C" w14:textId="77777777" w:rsidR="008955BD" w:rsidRPr="00037618" w:rsidRDefault="008955BD" w:rsidP="00E54A87">
      <w:pPr>
        <w:autoSpaceDE w:val="0"/>
        <w:autoSpaceDN w:val="0"/>
        <w:adjustRightInd w:val="0"/>
        <w:spacing w:after="0" w:line="240" w:lineRule="auto"/>
        <w:ind w:left="779" w:right="-20"/>
        <w:rPr>
          <w:rFonts w:ascii="Calibri" w:eastAsia="Calibri" w:hAnsi="Calibri" w:cs="Calibri"/>
          <w:bCs/>
          <w:spacing w:val="1"/>
        </w:rPr>
      </w:pPr>
    </w:p>
    <w:p w14:paraId="16AC8318" w14:textId="77777777" w:rsidR="00ED4FE1" w:rsidRDefault="00ED4FE1" w:rsidP="00ED4FE1">
      <w:pPr>
        <w:widowControl w:val="0"/>
        <w:autoSpaceDE w:val="0"/>
        <w:autoSpaceDN w:val="0"/>
        <w:adjustRightInd w:val="0"/>
        <w:spacing w:after="0" w:line="239" w:lineRule="auto"/>
        <w:ind w:left="360" w:right="720"/>
        <w:rPr>
          <w:rFonts w:cs="Calibri"/>
        </w:rPr>
      </w:pPr>
      <w:r w:rsidRPr="0036247C">
        <w:rPr>
          <w:rFonts w:cs="Calibri"/>
          <w:b/>
        </w:rPr>
        <w:t>Ad</w:t>
      </w:r>
      <w:r>
        <w:rPr>
          <w:rFonts w:cs="Calibri"/>
          <w:b/>
        </w:rPr>
        <w:t>ditional Roles and Responsibilities</w:t>
      </w:r>
      <w:r>
        <w:rPr>
          <w:rFonts w:cs="Calibri"/>
        </w:rPr>
        <w:tab/>
      </w:r>
      <w:r>
        <w:rPr>
          <w:rFonts w:cs="Calibri"/>
        </w:rPr>
        <w:tab/>
      </w:r>
      <w:r w:rsidRPr="0026204C">
        <w:rPr>
          <w:rFonts w:cs="Calibri"/>
          <w:b/>
        </w:rPr>
        <w:t xml:space="preserve"> </w:t>
      </w:r>
      <w:sdt>
        <w:sdtPr>
          <w:rPr>
            <w:rFonts w:cs="Calibri"/>
            <w:b/>
          </w:rPr>
          <w:id w:val="-932126386"/>
          <w14:checkbox>
            <w14:checked w14:val="0"/>
            <w14:checkedState w14:val="2612" w14:font="MS Gothic"/>
            <w14:uncheckedState w14:val="2610" w14:font="MS Gothic"/>
          </w14:checkbox>
        </w:sdtPr>
        <w:sdtEndPr/>
        <w:sdtContent>
          <w:r w:rsidRPr="0026204C">
            <w:rPr>
              <w:rFonts w:ascii="MS Gothic" w:eastAsia="MS Gothic" w:hAnsi="MS Gothic" w:cs="Calibri" w:hint="eastAsia"/>
              <w:b/>
            </w:rPr>
            <w:t>☐</w:t>
          </w:r>
        </w:sdtContent>
      </w:sdt>
      <w:r w:rsidRPr="0026204C">
        <w:rPr>
          <w:rFonts w:cs="Calibri"/>
          <w:b/>
        </w:rPr>
        <w:t xml:space="preserve"> N/A</w:t>
      </w:r>
    </w:p>
    <w:p w14:paraId="732DE8F6" w14:textId="77777777" w:rsidR="00ED4FE1" w:rsidRDefault="00ED4FE1" w:rsidP="00ED4FE1">
      <w:pPr>
        <w:widowControl w:val="0"/>
        <w:autoSpaceDE w:val="0"/>
        <w:autoSpaceDN w:val="0"/>
        <w:adjustRightInd w:val="0"/>
        <w:spacing w:after="0" w:line="239" w:lineRule="auto"/>
        <w:ind w:left="360" w:right="720"/>
        <w:rPr>
          <w:rFonts w:cs="Calibri"/>
          <w:b/>
        </w:rPr>
      </w:pPr>
      <w:r w:rsidRPr="00B9043B">
        <w:rPr>
          <w:rFonts w:cs="Calibri"/>
          <w:b/>
        </w:rPr>
        <w:t>(MANDATORY LANGUAGE)</w:t>
      </w:r>
    </w:p>
    <w:p w14:paraId="434F1CE1" w14:textId="77777777" w:rsidR="00ED4FE1" w:rsidRPr="008D5E59" w:rsidRDefault="00ED4FE1" w:rsidP="00ED4FE1">
      <w:pPr>
        <w:widowControl w:val="0"/>
        <w:autoSpaceDE w:val="0"/>
        <w:autoSpaceDN w:val="0"/>
        <w:adjustRightInd w:val="0"/>
        <w:spacing w:after="0" w:line="240" w:lineRule="auto"/>
        <w:ind w:right="720"/>
        <w:rPr>
          <w:rFonts w:cs="Calibri"/>
          <w:color w:val="00B0F0"/>
        </w:rPr>
      </w:pPr>
    </w:p>
    <w:p w14:paraId="4D13B2CA" w14:textId="09A2E1CC" w:rsidR="00ED4FE1" w:rsidRDefault="00ED4FE1" w:rsidP="00ED4FE1">
      <w:pPr>
        <w:widowControl w:val="0"/>
        <w:autoSpaceDE w:val="0"/>
        <w:autoSpaceDN w:val="0"/>
        <w:adjustRightInd w:val="0"/>
        <w:spacing w:after="0" w:line="240" w:lineRule="auto"/>
        <w:ind w:left="360" w:right="720"/>
        <w:rPr>
          <w:rFonts w:cs="Calibri"/>
          <w:i/>
          <w:color w:val="00B0F0"/>
        </w:rPr>
      </w:pPr>
      <w:r w:rsidRPr="0024775D">
        <w:rPr>
          <w:rFonts w:cs="Calibri"/>
          <w:i/>
          <w:color w:val="00B0F0"/>
        </w:rPr>
        <w:t xml:space="preserve">[Optional: Insert any additional role(s) and responsibilities that apply to this </w:t>
      </w:r>
      <w:r w:rsidR="00C46C18">
        <w:rPr>
          <w:rFonts w:cs="Calibri"/>
          <w:i/>
          <w:color w:val="00B0F0"/>
        </w:rPr>
        <w:t>SPG</w:t>
      </w:r>
      <w:r w:rsidRPr="0024775D">
        <w:rPr>
          <w:rFonts w:cs="Calibri"/>
          <w:i/>
          <w:color w:val="00B0F0"/>
        </w:rPr>
        <w:t>]</w:t>
      </w:r>
    </w:p>
    <w:p w14:paraId="07BEBB10" w14:textId="77777777" w:rsidR="00ED4FE1" w:rsidRDefault="00ED4FE1" w:rsidP="00ED4FE1">
      <w:pPr>
        <w:widowControl w:val="0"/>
        <w:autoSpaceDE w:val="0"/>
        <w:autoSpaceDN w:val="0"/>
        <w:adjustRightInd w:val="0"/>
        <w:spacing w:after="0" w:line="240" w:lineRule="auto"/>
        <w:ind w:left="360" w:right="720"/>
        <w:rPr>
          <w:rFonts w:cs="Calibri"/>
          <w:color w:val="00B0F0"/>
        </w:rPr>
      </w:pPr>
    </w:p>
    <w:p w14:paraId="6D1B7EFA" w14:textId="29C44BB2" w:rsidR="008151DA" w:rsidRPr="001956F1" w:rsidRDefault="001956F1" w:rsidP="001956F1">
      <w:pPr>
        <w:pStyle w:val="ListParagraph"/>
        <w:numPr>
          <w:ilvl w:val="0"/>
          <w:numId w:val="10"/>
        </w:numPr>
        <w:spacing w:after="0" w:line="240" w:lineRule="auto"/>
        <w:ind w:right="-20"/>
        <w:rPr>
          <w:rFonts w:ascii="Calibri" w:eastAsia="Calibri" w:hAnsi="Calibri" w:cs="Calibri"/>
          <w:b/>
          <w:bCs/>
        </w:rPr>
      </w:pPr>
      <w:r w:rsidRPr="001956F1">
        <w:rPr>
          <w:b/>
        </w:rPr>
        <w:t>PROCEDURE</w:t>
      </w:r>
    </w:p>
    <w:p w14:paraId="11A520F7" w14:textId="77777777" w:rsidR="00214188" w:rsidRPr="00214188" w:rsidRDefault="00214188" w:rsidP="001956F1">
      <w:pPr>
        <w:pStyle w:val="ListParagraph"/>
        <w:spacing w:after="0" w:line="240" w:lineRule="auto"/>
        <w:ind w:right="-20"/>
        <w:rPr>
          <w:rFonts w:ascii="Calibri" w:eastAsia="Calibri" w:hAnsi="Calibri" w:cs="Calibri"/>
          <w:b/>
          <w:bCs/>
        </w:rPr>
      </w:pPr>
    </w:p>
    <w:p w14:paraId="02FBE617" w14:textId="481C6E71" w:rsidR="008955BD" w:rsidRDefault="008955BD" w:rsidP="00E54A87">
      <w:pPr>
        <w:autoSpaceDE w:val="0"/>
        <w:autoSpaceDN w:val="0"/>
        <w:adjustRightInd w:val="0"/>
        <w:spacing w:after="0" w:line="240" w:lineRule="auto"/>
        <w:ind w:left="360"/>
        <w:rPr>
          <w:rFonts w:cstheme="minorHAnsi"/>
          <w:b/>
        </w:rPr>
      </w:pPr>
      <w:r w:rsidRPr="008955BD">
        <w:rPr>
          <w:rFonts w:cstheme="minorHAnsi"/>
          <w:b/>
        </w:rPr>
        <w:t>Assessing AEs</w:t>
      </w:r>
      <w:r w:rsidR="007F1D14">
        <w:rPr>
          <w:rFonts w:cstheme="minorHAnsi"/>
          <w:b/>
        </w:rPr>
        <w:t>/SAEs/</w:t>
      </w:r>
      <w:r w:rsidR="001013E5">
        <w:rPr>
          <w:rFonts w:cstheme="minorHAnsi"/>
          <w:b/>
        </w:rPr>
        <w:t>UADEs/</w:t>
      </w:r>
      <w:r w:rsidR="007F1D14">
        <w:rPr>
          <w:rFonts w:cstheme="minorHAnsi"/>
          <w:b/>
        </w:rPr>
        <w:t>UaPs</w:t>
      </w:r>
    </w:p>
    <w:p w14:paraId="2F25075F" w14:textId="77777777" w:rsidR="00A64273" w:rsidRPr="00037618" w:rsidRDefault="00A64273" w:rsidP="008E7DA8">
      <w:pPr>
        <w:autoSpaceDE w:val="0"/>
        <w:autoSpaceDN w:val="0"/>
        <w:adjustRightInd w:val="0"/>
        <w:spacing w:after="0" w:line="240" w:lineRule="auto"/>
        <w:ind w:left="288"/>
        <w:rPr>
          <w:rFonts w:cstheme="minorHAnsi"/>
        </w:rPr>
      </w:pPr>
    </w:p>
    <w:p w14:paraId="74ED1E7F" w14:textId="5C55CC56" w:rsidR="008955BD" w:rsidRDefault="00331682" w:rsidP="00E54A87">
      <w:pPr>
        <w:autoSpaceDE w:val="0"/>
        <w:autoSpaceDN w:val="0"/>
        <w:adjustRightInd w:val="0"/>
        <w:spacing w:after="0" w:line="240" w:lineRule="auto"/>
        <w:ind w:left="360"/>
        <w:rPr>
          <w:rFonts w:cstheme="minorHAnsi"/>
          <w:i/>
          <w:color w:val="00B0F0"/>
        </w:rPr>
      </w:pPr>
      <w:r>
        <w:rPr>
          <w:rFonts w:cstheme="minorHAnsi"/>
          <w:i/>
          <w:color w:val="00B0F0"/>
        </w:rPr>
        <w:t>[</w:t>
      </w:r>
      <w:r w:rsidR="004038FB" w:rsidRPr="00717D24">
        <w:rPr>
          <w:rFonts w:cstheme="minorHAnsi"/>
          <w:i/>
          <w:color w:val="00B0F0"/>
        </w:rPr>
        <w:t>D</w:t>
      </w:r>
      <w:r w:rsidR="008955BD" w:rsidRPr="00717D24">
        <w:rPr>
          <w:rFonts w:cstheme="minorHAnsi"/>
          <w:i/>
          <w:color w:val="00B0F0"/>
        </w:rPr>
        <w:t>escribe the process for assessing AEs</w:t>
      </w:r>
      <w:r w:rsidR="007F1D14">
        <w:rPr>
          <w:rFonts w:cstheme="minorHAnsi"/>
          <w:i/>
          <w:color w:val="00B0F0"/>
        </w:rPr>
        <w:t>/SAEs/</w:t>
      </w:r>
      <w:r w:rsidR="001013E5">
        <w:rPr>
          <w:rFonts w:cstheme="minorHAnsi"/>
          <w:i/>
          <w:color w:val="00B0F0"/>
        </w:rPr>
        <w:t>UADEs/</w:t>
      </w:r>
      <w:r w:rsidR="007F1D14">
        <w:rPr>
          <w:rFonts w:cstheme="minorHAnsi"/>
          <w:i/>
          <w:color w:val="00B0F0"/>
        </w:rPr>
        <w:t>UaPs</w:t>
      </w:r>
      <w:r w:rsidR="002225F1">
        <w:rPr>
          <w:rFonts w:cstheme="minorHAnsi"/>
          <w:i/>
          <w:color w:val="00B0F0"/>
        </w:rPr>
        <w:t>.</w:t>
      </w:r>
      <w:r>
        <w:rPr>
          <w:rFonts w:cstheme="minorHAnsi"/>
          <w:i/>
          <w:color w:val="00B0F0"/>
        </w:rPr>
        <w:t>]</w:t>
      </w:r>
    </w:p>
    <w:p w14:paraId="68F3F5A0" w14:textId="77777777" w:rsidR="000D712A" w:rsidRPr="008D5E59" w:rsidRDefault="000D712A" w:rsidP="00963603">
      <w:pPr>
        <w:autoSpaceDE w:val="0"/>
        <w:autoSpaceDN w:val="0"/>
        <w:adjustRightInd w:val="0"/>
        <w:spacing w:after="0" w:line="240" w:lineRule="auto"/>
        <w:ind w:left="288"/>
        <w:rPr>
          <w:rFonts w:cstheme="minorHAnsi"/>
          <w:color w:val="00B0F0"/>
        </w:rPr>
      </w:pPr>
    </w:p>
    <w:p w14:paraId="7222DC61" w14:textId="75EE2055" w:rsidR="000D712A" w:rsidRDefault="000D712A" w:rsidP="00E54A87">
      <w:pPr>
        <w:autoSpaceDE w:val="0"/>
        <w:autoSpaceDN w:val="0"/>
        <w:adjustRightInd w:val="0"/>
        <w:spacing w:after="0" w:line="240" w:lineRule="auto"/>
        <w:ind w:left="360"/>
        <w:rPr>
          <w:rFonts w:cstheme="minorHAnsi"/>
          <w:b/>
        </w:rPr>
      </w:pPr>
      <w:r w:rsidRPr="000D712A">
        <w:rPr>
          <w:rFonts w:cstheme="minorHAnsi"/>
          <w:b/>
        </w:rPr>
        <w:t>Managing AEs/SAEs/</w:t>
      </w:r>
      <w:r w:rsidR="001013E5">
        <w:rPr>
          <w:rFonts w:cstheme="minorHAnsi"/>
          <w:b/>
        </w:rPr>
        <w:t>UADEs/</w:t>
      </w:r>
      <w:r w:rsidRPr="000D712A">
        <w:rPr>
          <w:rFonts w:cstheme="minorHAnsi"/>
          <w:b/>
        </w:rPr>
        <w:t>UaPs</w:t>
      </w:r>
    </w:p>
    <w:p w14:paraId="4B5B4EC5" w14:textId="77777777" w:rsidR="00F40446" w:rsidRDefault="00F40446" w:rsidP="00E54A87">
      <w:pPr>
        <w:autoSpaceDE w:val="0"/>
        <w:autoSpaceDN w:val="0"/>
        <w:adjustRightInd w:val="0"/>
        <w:spacing w:after="0" w:line="240" w:lineRule="auto"/>
        <w:ind w:left="360"/>
        <w:rPr>
          <w:rFonts w:cstheme="minorHAnsi"/>
          <w:b/>
        </w:rPr>
      </w:pPr>
    </w:p>
    <w:p w14:paraId="1F7FB946" w14:textId="06BA5CC5" w:rsidR="000D712A" w:rsidRDefault="00331682" w:rsidP="00B5101D">
      <w:pPr>
        <w:autoSpaceDE w:val="0"/>
        <w:autoSpaceDN w:val="0"/>
        <w:spacing w:after="0" w:line="240" w:lineRule="auto"/>
        <w:ind w:left="360"/>
        <w:rPr>
          <w:i/>
          <w:iCs/>
          <w:color w:val="00B0F0"/>
        </w:rPr>
      </w:pPr>
      <w:r>
        <w:rPr>
          <w:i/>
          <w:iCs/>
          <w:color w:val="00B0F0"/>
        </w:rPr>
        <w:t>[</w:t>
      </w:r>
      <w:r w:rsidR="002225F1">
        <w:rPr>
          <w:i/>
          <w:iCs/>
          <w:color w:val="00B0F0"/>
        </w:rPr>
        <w:t xml:space="preserve">Describe the process for managing </w:t>
      </w:r>
      <w:r w:rsidR="001956F1" w:rsidRPr="001956F1">
        <w:rPr>
          <w:i/>
          <w:iCs/>
          <w:color w:val="00B0F0"/>
        </w:rPr>
        <w:t>AEs/SAEs/UADEs/UaPs</w:t>
      </w:r>
      <w:r w:rsidR="001956F1">
        <w:rPr>
          <w:i/>
          <w:iCs/>
          <w:color w:val="00B0F0"/>
        </w:rPr>
        <w:t xml:space="preserve">, </w:t>
      </w:r>
      <w:r w:rsidR="00656796">
        <w:rPr>
          <w:i/>
          <w:iCs/>
          <w:color w:val="00B0F0"/>
        </w:rPr>
        <w:t>based on the follow-up requirements specified in the protocol or other study documentation.</w:t>
      </w:r>
      <w:r>
        <w:rPr>
          <w:i/>
          <w:iCs/>
          <w:color w:val="00B0F0"/>
        </w:rPr>
        <w:t>]</w:t>
      </w:r>
    </w:p>
    <w:p w14:paraId="3685ABDD" w14:textId="77777777" w:rsidR="00F40446" w:rsidRDefault="00F40446" w:rsidP="00B5101D">
      <w:pPr>
        <w:autoSpaceDE w:val="0"/>
        <w:autoSpaceDN w:val="0"/>
        <w:spacing w:after="0" w:line="240" w:lineRule="auto"/>
        <w:ind w:left="360"/>
        <w:rPr>
          <w:i/>
          <w:iCs/>
          <w:color w:val="00B0F0"/>
        </w:rPr>
      </w:pPr>
    </w:p>
    <w:p w14:paraId="18711855" w14:textId="42BE4FCA" w:rsidR="008955BD" w:rsidRDefault="007F1D14" w:rsidP="00E54A87">
      <w:pPr>
        <w:autoSpaceDE w:val="0"/>
        <w:autoSpaceDN w:val="0"/>
        <w:adjustRightInd w:val="0"/>
        <w:spacing w:after="0" w:line="240" w:lineRule="auto"/>
        <w:ind w:left="360"/>
        <w:rPr>
          <w:rFonts w:ascii="Calibri" w:eastAsia="Calibri" w:hAnsi="Calibri" w:cs="Calibri"/>
          <w:b/>
        </w:rPr>
      </w:pPr>
      <w:r>
        <w:rPr>
          <w:rFonts w:ascii="Calibri" w:eastAsia="Calibri" w:hAnsi="Calibri" w:cs="Calibri"/>
          <w:b/>
        </w:rPr>
        <w:t xml:space="preserve">Recording and </w:t>
      </w:r>
      <w:r w:rsidR="00524034">
        <w:rPr>
          <w:rFonts w:ascii="Calibri" w:eastAsia="Calibri" w:hAnsi="Calibri" w:cs="Calibri"/>
          <w:b/>
        </w:rPr>
        <w:t>M</w:t>
      </w:r>
      <w:r>
        <w:rPr>
          <w:rFonts w:ascii="Calibri" w:eastAsia="Calibri" w:hAnsi="Calibri" w:cs="Calibri"/>
          <w:b/>
        </w:rPr>
        <w:t xml:space="preserve">aintaining </w:t>
      </w:r>
      <w:r w:rsidR="00524034">
        <w:rPr>
          <w:rFonts w:ascii="Calibri" w:eastAsia="Calibri" w:hAnsi="Calibri" w:cs="Calibri"/>
          <w:b/>
        </w:rPr>
        <w:t>D</w:t>
      </w:r>
      <w:r w:rsidR="00405F99">
        <w:rPr>
          <w:rFonts w:ascii="Calibri" w:eastAsia="Calibri" w:hAnsi="Calibri" w:cs="Calibri"/>
          <w:b/>
        </w:rPr>
        <w:t>ocumen</w:t>
      </w:r>
      <w:r>
        <w:rPr>
          <w:rFonts w:ascii="Calibri" w:eastAsia="Calibri" w:hAnsi="Calibri" w:cs="Calibri"/>
          <w:b/>
        </w:rPr>
        <w:t>tation of AEs/SAEs/</w:t>
      </w:r>
      <w:r w:rsidR="001013E5">
        <w:rPr>
          <w:rFonts w:ascii="Calibri" w:eastAsia="Calibri" w:hAnsi="Calibri" w:cs="Calibri"/>
          <w:b/>
        </w:rPr>
        <w:t>UADEs/</w:t>
      </w:r>
      <w:r>
        <w:rPr>
          <w:rFonts w:ascii="Calibri" w:eastAsia="Calibri" w:hAnsi="Calibri" w:cs="Calibri"/>
          <w:b/>
        </w:rPr>
        <w:t>UaPs</w:t>
      </w:r>
    </w:p>
    <w:p w14:paraId="45A885DE" w14:textId="77777777" w:rsidR="00331682" w:rsidRPr="008D5E59" w:rsidRDefault="00331682" w:rsidP="00E54A87">
      <w:pPr>
        <w:autoSpaceDE w:val="0"/>
        <w:autoSpaceDN w:val="0"/>
        <w:adjustRightInd w:val="0"/>
        <w:spacing w:after="0" w:line="240" w:lineRule="auto"/>
        <w:ind w:left="360"/>
        <w:rPr>
          <w:rFonts w:ascii="Calibri" w:eastAsia="Calibri" w:hAnsi="Calibri" w:cs="Calibri"/>
        </w:rPr>
      </w:pPr>
    </w:p>
    <w:p w14:paraId="0722552F" w14:textId="057CA07E" w:rsidR="00963603" w:rsidRPr="00717D24" w:rsidRDefault="00331682" w:rsidP="00E54A87">
      <w:pPr>
        <w:autoSpaceDE w:val="0"/>
        <w:autoSpaceDN w:val="0"/>
        <w:adjustRightInd w:val="0"/>
        <w:spacing w:after="0" w:line="240" w:lineRule="auto"/>
        <w:ind w:left="360"/>
        <w:rPr>
          <w:rFonts w:cstheme="minorHAnsi"/>
          <w:i/>
        </w:rPr>
      </w:pPr>
      <w:r>
        <w:rPr>
          <w:rFonts w:ascii="Calibri" w:eastAsia="Calibri" w:hAnsi="Calibri" w:cs="Calibri"/>
          <w:i/>
          <w:color w:val="00B0F0"/>
        </w:rPr>
        <w:t>[</w:t>
      </w:r>
      <w:r w:rsidR="008955BD" w:rsidRPr="00717D24">
        <w:rPr>
          <w:rFonts w:ascii="Calibri" w:eastAsia="Calibri" w:hAnsi="Calibri" w:cs="Calibri"/>
          <w:i/>
          <w:color w:val="00B0F0"/>
        </w:rPr>
        <w:t>Describe the</w:t>
      </w:r>
      <w:r w:rsidR="004038FB" w:rsidRPr="00717D24">
        <w:rPr>
          <w:rFonts w:ascii="Calibri" w:eastAsia="Calibri" w:hAnsi="Calibri" w:cs="Calibri"/>
          <w:i/>
          <w:color w:val="00B0F0"/>
        </w:rPr>
        <w:t xml:space="preserve"> </w:t>
      </w:r>
      <w:r w:rsidR="00717D24" w:rsidRPr="00717D24">
        <w:rPr>
          <w:rFonts w:ascii="Calibri" w:eastAsia="Calibri" w:hAnsi="Calibri" w:cs="Calibri"/>
          <w:i/>
          <w:color w:val="00B0F0"/>
        </w:rPr>
        <w:t>pro</w:t>
      </w:r>
      <w:r w:rsidR="00717D24">
        <w:rPr>
          <w:rFonts w:ascii="Calibri" w:eastAsia="Calibri" w:hAnsi="Calibri" w:cs="Calibri"/>
          <w:i/>
          <w:color w:val="00B0F0"/>
        </w:rPr>
        <w:t>ces</w:t>
      </w:r>
      <w:r w:rsidR="00717D24" w:rsidRPr="00717D24">
        <w:rPr>
          <w:rFonts w:ascii="Calibri" w:eastAsia="Calibri" w:hAnsi="Calibri" w:cs="Calibri"/>
          <w:i/>
          <w:color w:val="00B0F0"/>
        </w:rPr>
        <w:t xml:space="preserve">s </w:t>
      </w:r>
      <w:r w:rsidR="004038FB" w:rsidRPr="00717D24">
        <w:rPr>
          <w:rFonts w:ascii="Calibri" w:eastAsia="Calibri" w:hAnsi="Calibri" w:cs="Calibri"/>
          <w:i/>
          <w:color w:val="00B0F0"/>
        </w:rPr>
        <w:t>for recording AEs</w:t>
      </w:r>
      <w:r w:rsidR="002A1827">
        <w:rPr>
          <w:rFonts w:ascii="Calibri" w:eastAsia="Calibri" w:hAnsi="Calibri" w:cs="Calibri"/>
          <w:i/>
          <w:color w:val="00B0F0"/>
        </w:rPr>
        <w:t>/SAEs/</w:t>
      </w:r>
      <w:r w:rsidR="001013E5">
        <w:rPr>
          <w:rFonts w:ascii="Calibri" w:eastAsia="Calibri" w:hAnsi="Calibri" w:cs="Calibri"/>
          <w:i/>
          <w:color w:val="00B0F0"/>
        </w:rPr>
        <w:t>UADEs/</w:t>
      </w:r>
      <w:r w:rsidR="002A1827">
        <w:rPr>
          <w:rFonts w:ascii="Calibri" w:eastAsia="Calibri" w:hAnsi="Calibri" w:cs="Calibri"/>
          <w:i/>
          <w:color w:val="00B0F0"/>
        </w:rPr>
        <w:t>UaPs</w:t>
      </w:r>
      <w:r w:rsidR="004038FB" w:rsidRPr="00717D24">
        <w:rPr>
          <w:rFonts w:ascii="Calibri" w:eastAsia="Calibri" w:hAnsi="Calibri" w:cs="Calibri"/>
          <w:i/>
          <w:color w:val="00B0F0"/>
        </w:rPr>
        <w:t>, including</w:t>
      </w:r>
      <w:r w:rsidR="00B95B3E" w:rsidRPr="00717D24">
        <w:rPr>
          <w:rFonts w:ascii="Calibri" w:eastAsia="Calibri" w:hAnsi="Calibri" w:cs="Calibri"/>
          <w:i/>
          <w:color w:val="00B0F0"/>
        </w:rPr>
        <w:t xml:space="preserve"> determination of </w:t>
      </w:r>
      <w:r w:rsidR="00717D24" w:rsidRPr="00717D24">
        <w:rPr>
          <w:rFonts w:cstheme="minorHAnsi"/>
          <w:i/>
          <w:color w:val="00B0F0"/>
        </w:rPr>
        <w:t xml:space="preserve">relatedness, expectedness, </w:t>
      </w:r>
      <w:r w:rsidR="008859BB" w:rsidRPr="00717D24">
        <w:rPr>
          <w:rFonts w:cstheme="minorHAnsi"/>
          <w:i/>
          <w:color w:val="00B0F0"/>
        </w:rPr>
        <w:t>severity,</w:t>
      </w:r>
      <w:r w:rsidR="00717D24" w:rsidRPr="00717D24">
        <w:rPr>
          <w:rFonts w:cstheme="minorHAnsi"/>
          <w:i/>
          <w:color w:val="00B0F0"/>
        </w:rPr>
        <w:t xml:space="preserve"> and seriousness</w:t>
      </w:r>
      <w:r w:rsidR="002225F1">
        <w:rPr>
          <w:rFonts w:cstheme="minorHAnsi"/>
          <w:i/>
          <w:color w:val="00B0F0"/>
        </w:rPr>
        <w:t>.</w:t>
      </w:r>
      <w:r>
        <w:rPr>
          <w:rFonts w:ascii="Calibri" w:eastAsia="Calibri" w:hAnsi="Calibri" w:cs="Calibri"/>
          <w:i/>
          <w:color w:val="00B0F0"/>
        </w:rPr>
        <w:t>]</w:t>
      </w:r>
      <w:r w:rsidR="00950CB0" w:rsidRPr="00717D24">
        <w:rPr>
          <w:rFonts w:cstheme="minorHAnsi"/>
          <w:i/>
        </w:rPr>
        <w:tab/>
      </w:r>
    </w:p>
    <w:p w14:paraId="5FFCA82E" w14:textId="77777777" w:rsidR="00717D24" w:rsidRPr="00963603" w:rsidRDefault="00717D24" w:rsidP="00E54A87">
      <w:pPr>
        <w:autoSpaceDE w:val="0"/>
        <w:autoSpaceDN w:val="0"/>
        <w:adjustRightInd w:val="0"/>
        <w:spacing w:after="0" w:line="240" w:lineRule="auto"/>
        <w:ind w:left="360"/>
        <w:rPr>
          <w:rFonts w:cstheme="minorHAnsi"/>
        </w:rPr>
      </w:pPr>
    </w:p>
    <w:p w14:paraId="365D596F" w14:textId="1C2594DD" w:rsidR="008F10A5" w:rsidRDefault="008F10A5" w:rsidP="00E54A87">
      <w:pPr>
        <w:pStyle w:val="tabletext"/>
        <w:numPr>
          <w:ilvl w:val="12"/>
          <w:numId w:val="0"/>
        </w:numPr>
        <w:spacing w:before="0"/>
        <w:ind w:left="72" w:firstLine="288"/>
        <w:rPr>
          <w:rFonts w:asciiTheme="minorHAnsi" w:eastAsia="Calibri" w:hAnsiTheme="minorHAnsi" w:cstheme="minorHAnsi"/>
          <w:b/>
          <w:sz w:val="22"/>
          <w:szCs w:val="22"/>
        </w:rPr>
      </w:pPr>
      <w:r>
        <w:rPr>
          <w:rFonts w:asciiTheme="minorHAnsi" w:eastAsia="Calibri" w:hAnsiTheme="minorHAnsi" w:cstheme="minorHAnsi"/>
          <w:b/>
          <w:sz w:val="22"/>
          <w:szCs w:val="22"/>
        </w:rPr>
        <w:t xml:space="preserve">Reporting </w:t>
      </w:r>
      <w:r w:rsidR="00A23E45">
        <w:rPr>
          <w:rFonts w:asciiTheme="minorHAnsi" w:eastAsia="Calibri" w:hAnsiTheme="minorHAnsi" w:cstheme="minorHAnsi"/>
          <w:b/>
          <w:sz w:val="22"/>
          <w:szCs w:val="22"/>
        </w:rPr>
        <w:t xml:space="preserve">Non-Serious </w:t>
      </w:r>
      <w:r>
        <w:rPr>
          <w:rFonts w:asciiTheme="minorHAnsi" w:eastAsia="Calibri" w:hAnsiTheme="minorHAnsi" w:cstheme="minorHAnsi"/>
          <w:b/>
          <w:sz w:val="22"/>
          <w:szCs w:val="22"/>
        </w:rPr>
        <w:t>Adverse Events</w:t>
      </w:r>
    </w:p>
    <w:p w14:paraId="6D246465" w14:textId="77777777" w:rsidR="00331682" w:rsidRPr="008D5E59" w:rsidRDefault="00331682" w:rsidP="00E54A87">
      <w:pPr>
        <w:pStyle w:val="tabletext"/>
        <w:numPr>
          <w:ilvl w:val="12"/>
          <w:numId w:val="0"/>
        </w:numPr>
        <w:spacing w:before="0"/>
        <w:ind w:left="72" w:firstLine="288"/>
        <w:rPr>
          <w:rFonts w:asciiTheme="minorHAnsi" w:eastAsia="Calibri" w:hAnsiTheme="minorHAnsi" w:cstheme="minorHAnsi"/>
          <w:sz w:val="22"/>
          <w:szCs w:val="22"/>
        </w:rPr>
      </w:pPr>
    </w:p>
    <w:p w14:paraId="1F26780B" w14:textId="12408126" w:rsidR="008F10A5" w:rsidRPr="003162F4" w:rsidRDefault="00331682" w:rsidP="00E54A87">
      <w:pPr>
        <w:pStyle w:val="tabletext"/>
        <w:spacing w:before="0"/>
        <w:ind w:left="360"/>
        <w:rPr>
          <w:rFonts w:cstheme="minorHAnsi"/>
          <w:i/>
        </w:rPr>
      </w:pPr>
      <w:r w:rsidRPr="00F03CE2">
        <w:rPr>
          <w:rFonts w:asciiTheme="minorHAnsi" w:hAnsiTheme="minorHAnsi" w:cstheme="minorHAnsi"/>
          <w:i/>
          <w:color w:val="00B0F0"/>
          <w:sz w:val="22"/>
          <w:szCs w:val="22"/>
        </w:rPr>
        <w:t>[</w:t>
      </w:r>
      <w:r w:rsidR="00D76F19" w:rsidRPr="00F03CE2">
        <w:rPr>
          <w:rFonts w:asciiTheme="minorHAnsi" w:hAnsiTheme="minorHAnsi" w:cstheme="minorHAnsi"/>
          <w:i/>
          <w:color w:val="00B0F0"/>
          <w:sz w:val="22"/>
          <w:szCs w:val="22"/>
        </w:rPr>
        <w:t>D</w:t>
      </w:r>
      <w:r w:rsidR="008F10A5" w:rsidRPr="00F03CE2">
        <w:rPr>
          <w:rFonts w:asciiTheme="minorHAnsi" w:hAnsiTheme="minorHAnsi" w:cstheme="minorHAnsi"/>
          <w:i/>
          <w:color w:val="00B0F0"/>
          <w:sz w:val="22"/>
          <w:szCs w:val="22"/>
        </w:rPr>
        <w:t xml:space="preserve">escribe the process for reporting non-serious </w:t>
      </w:r>
      <w:r w:rsidR="002A1827" w:rsidRPr="00F03CE2">
        <w:rPr>
          <w:rFonts w:asciiTheme="minorHAnsi" w:hAnsiTheme="minorHAnsi" w:cstheme="minorHAnsi"/>
          <w:i/>
          <w:color w:val="00B0F0"/>
          <w:sz w:val="22"/>
          <w:szCs w:val="22"/>
        </w:rPr>
        <w:t>AEs</w:t>
      </w:r>
      <w:r w:rsidR="008F10A5" w:rsidRPr="00F03CE2">
        <w:rPr>
          <w:rFonts w:asciiTheme="minorHAnsi" w:hAnsiTheme="minorHAnsi" w:cstheme="minorHAnsi"/>
          <w:i/>
          <w:color w:val="00B0F0"/>
          <w:sz w:val="22"/>
          <w:szCs w:val="22"/>
        </w:rPr>
        <w:t xml:space="preserve">. This should include the process for notification of the </w:t>
      </w:r>
      <w:r w:rsidR="00950690" w:rsidRPr="00F03CE2">
        <w:rPr>
          <w:rFonts w:asciiTheme="minorHAnsi" w:hAnsiTheme="minorHAnsi" w:cstheme="minorHAnsi"/>
          <w:i/>
          <w:color w:val="00B0F0"/>
          <w:sz w:val="22"/>
          <w:szCs w:val="22"/>
        </w:rPr>
        <w:t xml:space="preserve">DSMB, local and central </w:t>
      </w:r>
      <w:r w:rsidR="008F10A5" w:rsidRPr="00F03CE2">
        <w:rPr>
          <w:rFonts w:asciiTheme="minorHAnsi" w:hAnsiTheme="minorHAnsi" w:cstheme="minorHAnsi"/>
          <w:i/>
          <w:color w:val="00B0F0"/>
          <w:sz w:val="22"/>
          <w:szCs w:val="22"/>
        </w:rPr>
        <w:t>IRB</w:t>
      </w:r>
      <w:r w:rsidR="00950690" w:rsidRPr="00F03CE2">
        <w:rPr>
          <w:rFonts w:asciiTheme="minorHAnsi" w:hAnsiTheme="minorHAnsi" w:cstheme="minorHAnsi"/>
          <w:i/>
          <w:color w:val="00B0F0"/>
          <w:sz w:val="22"/>
          <w:szCs w:val="22"/>
        </w:rPr>
        <w:t>s</w:t>
      </w:r>
      <w:r w:rsidR="008F10A5" w:rsidRPr="00F03CE2">
        <w:rPr>
          <w:rFonts w:asciiTheme="minorHAnsi" w:hAnsiTheme="minorHAnsi" w:cstheme="minorHAnsi"/>
          <w:i/>
          <w:color w:val="00B0F0"/>
          <w:sz w:val="22"/>
          <w:szCs w:val="22"/>
        </w:rPr>
        <w:t>,</w:t>
      </w:r>
      <w:r w:rsidR="005E5536" w:rsidRPr="00F03CE2">
        <w:rPr>
          <w:rFonts w:asciiTheme="minorHAnsi" w:hAnsiTheme="minorHAnsi" w:cstheme="minorHAnsi"/>
          <w:i/>
          <w:color w:val="00B0F0"/>
          <w:sz w:val="22"/>
          <w:szCs w:val="22"/>
        </w:rPr>
        <w:t xml:space="preserve"> </w:t>
      </w:r>
      <w:r w:rsidR="00C66B9D" w:rsidRPr="00F03CE2">
        <w:rPr>
          <w:rFonts w:asciiTheme="minorHAnsi" w:hAnsiTheme="minorHAnsi" w:cstheme="minorHAnsi"/>
          <w:i/>
          <w:color w:val="00B0F0"/>
          <w:sz w:val="22"/>
          <w:szCs w:val="22"/>
        </w:rPr>
        <w:t>s</w:t>
      </w:r>
      <w:r w:rsidR="005E5536" w:rsidRPr="00F03CE2">
        <w:rPr>
          <w:rFonts w:asciiTheme="minorHAnsi" w:hAnsiTheme="minorHAnsi" w:cstheme="minorHAnsi"/>
          <w:i/>
          <w:color w:val="00B0F0"/>
          <w:sz w:val="22"/>
          <w:szCs w:val="22"/>
        </w:rPr>
        <w:t>ponsor,</w:t>
      </w:r>
      <w:r w:rsidR="00EE5794" w:rsidRPr="00F03CE2">
        <w:rPr>
          <w:rFonts w:asciiTheme="minorHAnsi" w:hAnsiTheme="minorHAnsi" w:cstheme="minorHAnsi"/>
          <w:i/>
          <w:color w:val="00B0F0"/>
          <w:sz w:val="22"/>
          <w:szCs w:val="22"/>
        </w:rPr>
        <w:t xml:space="preserve"> </w:t>
      </w:r>
      <w:r w:rsidR="005E5536" w:rsidRPr="00F03CE2">
        <w:rPr>
          <w:rFonts w:asciiTheme="minorHAnsi" w:hAnsiTheme="minorHAnsi" w:cstheme="minorHAnsi"/>
          <w:i/>
          <w:color w:val="00B0F0"/>
          <w:sz w:val="22"/>
          <w:szCs w:val="22"/>
        </w:rPr>
        <w:t>etc</w:t>
      </w:r>
      <w:r w:rsidR="002C0854" w:rsidRPr="003162F4">
        <w:rPr>
          <w:rFonts w:asciiTheme="minorHAnsi" w:hAnsiTheme="minorHAnsi" w:cstheme="minorHAnsi"/>
          <w:i/>
          <w:color w:val="00B0F0"/>
        </w:rPr>
        <w:t>.</w:t>
      </w:r>
      <w:r w:rsidRPr="003162F4">
        <w:rPr>
          <w:rFonts w:asciiTheme="minorHAnsi" w:hAnsiTheme="minorHAnsi" w:cstheme="minorHAnsi"/>
          <w:i/>
          <w:color w:val="00B0F0"/>
          <w:sz w:val="22"/>
          <w:szCs w:val="22"/>
        </w:rPr>
        <w:t>]</w:t>
      </w:r>
    </w:p>
    <w:p w14:paraId="6F2BB867" w14:textId="76B25D98" w:rsidR="00F03CE2" w:rsidRPr="008D5E59" w:rsidRDefault="00F03CE2" w:rsidP="00F03CE2">
      <w:pPr>
        <w:pStyle w:val="tabletext"/>
        <w:spacing w:before="0"/>
        <w:ind w:left="360"/>
        <w:rPr>
          <w:rFonts w:asciiTheme="minorHAnsi" w:hAnsiTheme="minorHAnsi" w:cstheme="minorHAnsi"/>
          <w:sz w:val="22"/>
          <w:szCs w:val="22"/>
        </w:rPr>
      </w:pPr>
    </w:p>
    <w:p w14:paraId="2DCE3361" w14:textId="330DFF9A" w:rsidR="008955BD" w:rsidRDefault="0061448E" w:rsidP="00E54A87">
      <w:pPr>
        <w:pStyle w:val="tabletext"/>
        <w:spacing w:before="0"/>
        <w:ind w:left="360"/>
        <w:rPr>
          <w:rFonts w:asciiTheme="minorHAnsi" w:eastAsia="Calibri" w:hAnsiTheme="minorHAnsi" w:cstheme="minorHAnsi"/>
          <w:b/>
          <w:sz w:val="22"/>
          <w:szCs w:val="22"/>
        </w:rPr>
      </w:pPr>
      <w:r w:rsidRPr="00F85BCC">
        <w:rPr>
          <w:rFonts w:asciiTheme="minorHAnsi" w:eastAsia="Calibri" w:hAnsiTheme="minorHAnsi" w:cstheme="minorHAnsi"/>
          <w:b/>
          <w:sz w:val="22"/>
          <w:szCs w:val="22"/>
        </w:rPr>
        <w:t>Reporting Serious Adverse Events</w:t>
      </w:r>
    </w:p>
    <w:p w14:paraId="282C7339" w14:textId="77777777" w:rsidR="00331682" w:rsidRDefault="00331682" w:rsidP="00E54A87">
      <w:pPr>
        <w:pStyle w:val="tabletext"/>
        <w:spacing w:before="0"/>
        <w:ind w:left="360"/>
        <w:rPr>
          <w:rFonts w:asciiTheme="minorHAnsi" w:hAnsiTheme="minorHAnsi" w:cstheme="minorHAnsi"/>
          <w:sz w:val="22"/>
          <w:szCs w:val="22"/>
        </w:rPr>
      </w:pPr>
    </w:p>
    <w:p w14:paraId="5A95D253" w14:textId="50FFB591" w:rsidR="008955BD" w:rsidRDefault="00331682" w:rsidP="00E54A87">
      <w:pPr>
        <w:pStyle w:val="tabletext"/>
        <w:spacing w:before="0"/>
        <w:ind w:left="360"/>
        <w:rPr>
          <w:rFonts w:asciiTheme="minorHAnsi" w:hAnsiTheme="minorHAnsi" w:cstheme="minorHAnsi"/>
          <w:i/>
          <w:color w:val="00B0F0"/>
          <w:sz w:val="22"/>
          <w:szCs w:val="22"/>
        </w:rPr>
      </w:pPr>
      <w:r>
        <w:rPr>
          <w:rFonts w:asciiTheme="minorHAnsi" w:hAnsiTheme="minorHAnsi" w:cstheme="minorHAnsi"/>
          <w:i/>
          <w:color w:val="00B0F0"/>
          <w:sz w:val="22"/>
          <w:szCs w:val="22"/>
        </w:rPr>
        <w:t>[</w:t>
      </w:r>
      <w:r w:rsidR="00D76F19">
        <w:rPr>
          <w:rFonts w:asciiTheme="minorHAnsi" w:hAnsiTheme="minorHAnsi" w:cstheme="minorHAnsi"/>
          <w:i/>
          <w:color w:val="00B0F0"/>
          <w:sz w:val="22"/>
          <w:szCs w:val="22"/>
        </w:rPr>
        <w:t>D</w:t>
      </w:r>
      <w:r w:rsidR="008955BD" w:rsidRPr="00717D24">
        <w:rPr>
          <w:rFonts w:asciiTheme="minorHAnsi" w:hAnsiTheme="minorHAnsi" w:cstheme="minorHAnsi"/>
          <w:i/>
          <w:color w:val="00B0F0"/>
          <w:sz w:val="22"/>
          <w:szCs w:val="22"/>
        </w:rPr>
        <w:t xml:space="preserve">escribe the process for reporting </w:t>
      </w:r>
      <w:r w:rsidR="002A1827">
        <w:rPr>
          <w:rFonts w:asciiTheme="minorHAnsi" w:hAnsiTheme="minorHAnsi" w:cstheme="minorHAnsi"/>
          <w:i/>
          <w:color w:val="00B0F0"/>
          <w:sz w:val="22"/>
          <w:szCs w:val="22"/>
        </w:rPr>
        <w:t>SAEs</w:t>
      </w:r>
      <w:r w:rsidR="008955BD" w:rsidRPr="00717D24">
        <w:rPr>
          <w:rFonts w:asciiTheme="minorHAnsi" w:hAnsiTheme="minorHAnsi" w:cstheme="minorHAnsi"/>
          <w:i/>
          <w:color w:val="00B0F0"/>
          <w:sz w:val="22"/>
          <w:szCs w:val="22"/>
        </w:rPr>
        <w:t xml:space="preserve">. </w:t>
      </w:r>
      <w:r w:rsidR="00950690" w:rsidRPr="00D76F19">
        <w:rPr>
          <w:rFonts w:asciiTheme="minorHAnsi" w:hAnsiTheme="minorHAnsi" w:cstheme="minorHAnsi"/>
          <w:i/>
          <w:color w:val="00B0F0"/>
          <w:sz w:val="22"/>
          <w:szCs w:val="22"/>
        </w:rPr>
        <w:t xml:space="preserve">This should include the process </w:t>
      </w:r>
      <w:r w:rsidR="000F39FD">
        <w:rPr>
          <w:rFonts w:asciiTheme="minorHAnsi" w:hAnsiTheme="minorHAnsi" w:cstheme="minorHAnsi"/>
          <w:i/>
          <w:color w:val="00B0F0"/>
          <w:sz w:val="22"/>
          <w:szCs w:val="22"/>
        </w:rPr>
        <w:t xml:space="preserve">and timeframes </w:t>
      </w:r>
      <w:r w:rsidR="00950690" w:rsidRPr="00D76F19">
        <w:rPr>
          <w:rFonts w:asciiTheme="minorHAnsi" w:hAnsiTheme="minorHAnsi" w:cstheme="minorHAnsi"/>
          <w:i/>
          <w:color w:val="00B0F0"/>
          <w:sz w:val="22"/>
          <w:szCs w:val="22"/>
        </w:rPr>
        <w:t xml:space="preserve">for notification of the </w:t>
      </w:r>
      <w:r w:rsidR="00950690">
        <w:rPr>
          <w:rFonts w:asciiTheme="minorHAnsi" w:hAnsiTheme="minorHAnsi" w:cstheme="minorHAnsi"/>
          <w:i/>
          <w:color w:val="00B0F0"/>
          <w:sz w:val="22"/>
          <w:szCs w:val="22"/>
        </w:rPr>
        <w:t xml:space="preserve">DSMB, local and central </w:t>
      </w:r>
      <w:r w:rsidR="00950690" w:rsidRPr="00D76F19">
        <w:rPr>
          <w:rFonts w:asciiTheme="minorHAnsi" w:hAnsiTheme="minorHAnsi" w:cstheme="minorHAnsi"/>
          <w:i/>
          <w:color w:val="00B0F0"/>
          <w:sz w:val="22"/>
          <w:szCs w:val="22"/>
        </w:rPr>
        <w:t>IRB</w:t>
      </w:r>
      <w:r w:rsidR="00950690">
        <w:rPr>
          <w:rFonts w:asciiTheme="minorHAnsi" w:hAnsiTheme="minorHAnsi" w:cstheme="minorHAnsi"/>
          <w:i/>
          <w:color w:val="00B0F0"/>
          <w:sz w:val="22"/>
          <w:szCs w:val="22"/>
        </w:rPr>
        <w:t>s</w:t>
      </w:r>
      <w:r w:rsidR="00950690" w:rsidRPr="00D76F19">
        <w:rPr>
          <w:rFonts w:asciiTheme="minorHAnsi" w:hAnsiTheme="minorHAnsi" w:cstheme="minorHAnsi"/>
          <w:i/>
          <w:color w:val="00B0F0"/>
          <w:sz w:val="22"/>
          <w:szCs w:val="22"/>
        </w:rPr>
        <w:t>,</w:t>
      </w:r>
      <w:r w:rsidR="002225F1">
        <w:rPr>
          <w:rFonts w:asciiTheme="minorHAnsi" w:hAnsiTheme="minorHAnsi" w:cstheme="minorHAnsi"/>
          <w:i/>
          <w:color w:val="00B0F0"/>
          <w:sz w:val="22"/>
          <w:szCs w:val="22"/>
        </w:rPr>
        <w:t xml:space="preserve"> s</w:t>
      </w:r>
      <w:r w:rsidR="00950690">
        <w:rPr>
          <w:rFonts w:asciiTheme="minorHAnsi" w:hAnsiTheme="minorHAnsi" w:cstheme="minorHAnsi"/>
          <w:i/>
          <w:color w:val="00B0F0"/>
          <w:sz w:val="22"/>
          <w:szCs w:val="22"/>
        </w:rPr>
        <w:t xml:space="preserve">ponsor, etc. </w:t>
      </w:r>
      <w:r w:rsidR="002C0854" w:rsidRPr="00173AC5">
        <w:rPr>
          <w:rFonts w:asciiTheme="minorHAnsi" w:hAnsiTheme="minorHAnsi" w:cstheme="minorHAnsi"/>
          <w:i/>
          <w:color w:val="00B0F0"/>
          <w:sz w:val="22"/>
          <w:szCs w:val="22"/>
        </w:rPr>
        <w:t>Please see the IRBMED link below for reporting requirements</w:t>
      </w:r>
      <w:r w:rsidR="001548DD" w:rsidRPr="00173AC5">
        <w:rPr>
          <w:rFonts w:asciiTheme="minorHAnsi" w:hAnsiTheme="minorHAnsi" w:cstheme="minorHAnsi"/>
          <w:i/>
          <w:color w:val="00B0F0"/>
          <w:sz w:val="22"/>
          <w:szCs w:val="22"/>
        </w:rPr>
        <w:t>.]</w:t>
      </w:r>
    </w:p>
    <w:p w14:paraId="702DC546" w14:textId="77777777" w:rsidR="003162F4" w:rsidRDefault="003162F4" w:rsidP="00E54A87">
      <w:pPr>
        <w:pStyle w:val="tabletext"/>
        <w:spacing w:before="0"/>
        <w:ind w:left="360"/>
        <w:rPr>
          <w:rFonts w:asciiTheme="minorHAnsi" w:hAnsiTheme="minorHAnsi" w:cstheme="minorHAnsi"/>
          <w:i/>
          <w:color w:val="00B0F0"/>
          <w:sz w:val="22"/>
          <w:szCs w:val="22"/>
        </w:rPr>
      </w:pPr>
    </w:p>
    <w:p w14:paraId="77A8AF23" w14:textId="33562C9F" w:rsidR="001013E5" w:rsidRPr="001956F1" w:rsidRDefault="001013E5" w:rsidP="00E54A87">
      <w:pPr>
        <w:pStyle w:val="tabletext"/>
        <w:spacing w:before="0"/>
        <w:ind w:left="360"/>
        <w:rPr>
          <w:rFonts w:asciiTheme="minorHAnsi" w:hAnsiTheme="minorHAnsi" w:cstheme="minorHAnsi"/>
          <w:b/>
          <w:sz w:val="22"/>
          <w:szCs w:val="22"/>
        </w:rPr>
      </w:pPr>
      <w:r w:rsidRPr="001956F1">
        <w:rPr>
          <w:rFonts w:asciiTheme="minorHAnsi" w:hAnsiTheme="minorHAnsi" w:cstheme="minorHAnsi"/>
          <w:b/>
          <w:sz w:val="22"/>
          <w:szCs w:val="22"/>
        </w:rPr>
        <w:t xml:space="preserve">Reporting Unanticipated </w:t>
      </w:r>
      <w:r w:rsidR="00257DA5" w:rsidRPr="001956F1">
        <w:rPr>
          <w:rFonts w:asciiTheme="minorHAnsi" w:hAnsiTheme="minorHAnsi" w:cstheme="minorHAnsi"/>
          <w:b/>
          <w:sz w:val="22"/>
          <w:szCs w:val="22"/>
        </w:rPr>
        <w:t xml:space="preserve">Adverse </w:t>
      </w:r>
      <w:r w:rsidRPr="001956F1">
        <w:rPr>
          <w:rFonts w:asciiTheme="minorHAnsi" w:hAnsiTheme="minorHAnsi" w:cstheme="minorHAnsi"/>
          <w:b/>
          <w:sz w:val="22"/>
          <w:szCs w:val="22"/>
        </w:rPr>
        <w:t>Device</w:t>
      </w:r>
      <w:r w:rsidR="00257DA5" w:rsidRPr="001956F1">
        <w:rPr>
          <w:rFonts w:asciiTheme="minorHAnsi" w:hAnsiTheme="minorHAnsi" w:cstheme="minorHAnsi"/>
          <w:b/>
          <w:sz w:val="22"/>
          <w:szCs w:val="22"/>
        </w:rPr>
        <w:t xml:space="preserve"> Effect</w:t>
      </w:r>
      <w:r w:rsidR="001956F1">
        <w:rPr>
          <w:rFonts w:asciiTheme="minorHAnsi" w:hAnsiTheme="minorHAnsi" w:cstheme="minorHAnsi"/>
          <w:b/>
          <w:sz w:val="22"/>
          <w:szCs w:val="22"/>
        </w:rPr>
        <w:t>s</w:t>
      </w:r>
    </w:p>
    <w:p w14:paraId="6BCE68B2" w14:textId="77777777" w:rsidR="0045769A" w:rsidRDefault="0045769A" w:rsidP="00E54A87">
      <w:pPr>
        <w:pStyle w:val="tabletext"/>
        <w:spacing w:before="0"/>
        <w:ind w:left="360"/>
        <w:rPr>
          <w:rFonts w:asciiTheme="minorHAnsi" w:hAnsiTheme="minorHAnsi" w:cstheme="minorHAnsi"/>
          <w:i/>
          <w:color w:val="00B0F0"/>
          <w:sz w:val="22"/>
          <w:szCs w:val="22"/>
        </w:rPr>
      </w:pPr>
    </w:p>
    <w:p w14:paraId="693DEF2F" w14:textId="589258D7" w:rsidR="00257DA5" w:rsidRPr="0005204A" w:rsidRDefault="00257DA5" w:rsidP="00E54A87">
      <w:pPr>
        <w:pStyle w:val="tabletext"/>
        <w:spacing w:before="0"/>
        <w:ind w:left="360"/>
        <w:rPr>
          <w:rFonts w:cstheme="minorHAnsi"/>
        </w:rPr>
      </w:pPr>
      <w:r>
        <w:rPr>
          <w:rFonts w:asciiTheme="minorHAnsi" w:hAnsiTheme="minorHAnsi" w:cstheme="minorHAnsi"/>
          <w:i/>
          <w:color w:val="00B0F0"/>
          <w:sz w:val="22"/>
          <w:szCs w:val="22"/>
        </w:rPr>
        <w:t>[Describe the process for reporting UADEs. This should include the process and timeframes fo</w:t>
      </w:r>
      <w:r w:rsidR="0045769A">
        <w:rPr>
          <w:rFonts w:asciiTheme="minorHAnsi" w:hAnsiTheme="minorHAnsi" w:cstheme="minorHAnsi"/>
          <w:i/>
          <w:color w:val="00B0F0"/>
          <w:sz w:val="22"/>
          <w:szCs w:val="22"/>
        </w:rPr>
        <w:t xml:space="preserve">r notification of the DSMB, local and central IRBs, sponsor, </w:t>
      </w:r>
      <w:r w:rsidR="002759E6">
        <w:rPr>
          <w:rFonts w:asciiTheme="minorHAnsi" w:hAnsiTheme="minorHAnsi" w:cstheme="minorHAnsi"/>
          <w:i/>
          <w:color w:val="00B0F0"/>
          <w:sz w:val="22"/>
          <w:szCs w:val="22"/>
        </w:rPr>
        <w:t>FD</w:t>
      </w:r>
      <w:r w:rsidR="00E36413">
        <w:rPr>
          <w:rFonts w:asciiTheme="minorHAnsi" w:hAnsiTheme="minorHAnsi" w:cstheme="minorHAnsi"/>
          <w:i/>
          <w:color w:val="00B0F0"/>
          <w:sz w:val="22"/>
          <w:szCs w:val="22"/>
        </w:rPr>
        <w:t xml:space="preserve">A, </w:t>
      </w:r>
      <w:r w:rsidR="0045769A">
        <w:rPr>
          <w:rFonts w:asciiTheme="minorHAnsi" w:hAnsiTheme="minorHAnsi" w:cstheme="minorHAnsi"/>
          <w:i/>
          <w:color w:val="00B0F0"/>
          <w:sz w:val="22"/>
          <w:szCs w:val="22"/>
        </w:rPr>
        <w:t>etc.]</w:t>
      </w:r>
    </w:p>
    <w:p w14:paraId="105541FC" w14:textId="77777777" w:rsidR="00235CF6" w:rsidRPr="008D5E59" w:rsidRDefault="00235CF6" w:rsidP="00963603">
      <w:pPr>
        <w:pStyle w:val="tabletext"/>
        <w:spacing w:before="0"/>
        <w:ind w:left="288"/>
        <w:rPr>
          <w:rFonts w:asciiTheme="minorHAnsi" w:hAnsiTheme="minorHAnsi" w:cstheme="minorHAnsi"/>
          <w:sz w:val="22"/>
          <w:szCs w:val="22"/>
        </w:rPr>
      </w:pPr>
    </w:p>
    <w:p w14:paraId="5D3BC50E" w14:textId="458C5BCD" w:rsidR="008955BD" w:rsidRDefault="00235CF6" w:rsidP="00E54A87">
      <w:pPr>
        <w:pStyle w:val="tabletext"/>
        <w:spacing w:before="0"/>
        <w:ind w:left="360"/>
        <w:rPr>
          <w:rFonts w:asciiTheme="minorHAnsi" w:hAnsiTheme="minorHAnsi" w:cstheme="minorHAnsi"/>
          <w:b/>
          <w:sz w:val="22"/>
          <w:szCs w:val="22"/>
        </w:rPr>
      </w:pPr>
      <w:r>
        <w:rPr>
          <w:rFonts w:asciiTheme="minorHAnsi" w:hAnsiTheme="minorHAnsi" w:cstheme="minorHAnsi"/>
          <w:b/>
          <w:sz w:val="22"/>
          <w:szCs w:val="22"/>
        </w:rPr>
        <w:t>Reporting Unanticipated Problems</w:t>
      </w:r>
    </w:p>
    <w:p w14:paraId="4C4D2733" w14:textId="77777777" w:rsidR="00331682" w:rsidRPr="008D5E59" w:rsidRDefault="00331682" w:rsidP="00D76F19">
      <w:pPr>
        <w:pStyle w:val="tabletext"/>
        <w:spacing w:before="0"/>
        <w:ind w:left="288"/>
        <w:rPr>
          <w:rFonts w:asciiTheme="minorHAnsi" w:hAnsiTheme="minorHAnsi" w:cstheme="minorHAnsi"/>
          <w:sz w:val="22"/>
          <w:szCs w:val="22"/>
        </w:rPr>
      </w:pPr>
    </w:p>
    <w:p w14:paraId="67460274" w14:textId="7CE55FDA" w:rsidR="0005204A" w:rsidRDefault="00331682" w:rsidP="00E54A87">
      <w:pPr>
        <w:pStyle w:val="tabletext"/>
        <w:spacing w:before="0"/>
        <w:ind w:left="360"/>
        <w:rPr>
          <w:rFonts w:asciiTheme="minorHAnsi" w:hAnsiTheme="minorHAnsi" w:cstheme="minorHAnsi"/>
          <w:i/>
          <w:color w:val="00B0F0"/>
          <w:sz w:val="22"/>
          <w:szCs w:val="22"/>
        </w:rPr>
      </w:pPr>
      <w:r>
        <w:rPr>
          <w:rFonts w:asciiTheme="minorHAnsi" w:hAnsiTheme="minorHAnsi" w:cstheme="minorHAnsi"/>
          <w:i/>
          <w:color w:val="00B0F0"/>
          <w:sz w:val="22"/>
          <w:szCs w:val="22"/>
        </w:rPr>
        <w:t>[</w:t>
      </w:r>
      <w:r w:rsidR="00D76F19">
        <w:rPr>
          <w:rFonts w:asciiTheme="minorHAnsi" w:hAnsiTheme="minorHAnsi" w:cstheme="minorHAnsi"/>
          <w:i/>
          <w:color w:val="00B0F0"/>
          <w:sz w:val="22"/>
          <w:szCs w:val="22"/>
        </w:rPr>
        <w:t>D</w:t>
      </w:r>
      <w:r w:rsidR="00235CF6" w:rsidRPr="008F10A5">
        <w:rPr>
          <w:rFonts w:asciiTheme="minorHAnsi" w:hAnsiTheme="minorHAnsi" w:cstheme="minorHAnsi"/>
          <w:i/>
          <w:color w:val="00B0F0"/>
          <w:sz w:val="22"/>
          <w:szCs w:val="22"/>
        </w:rPr>
        <w:t xml:space="preserve">escribe the process for reporting </w:t>
      </w:r>
      <w:r w:rsidR="002A1827">
        <w:rPr>
          <w:rFonts w:asciiTheme="minorHAnsi" w:hAnsiTheme="minorHAnsi" w:cstheme="minorHAnsi"/>
          <w:i/>
          <w:color w:val="00B0F0"/>
          <w:sz w:val="22"/>
          <w:szCs w:val="22"/>
        </w:rPr>
        <w:t>UaPs</w:t>
      </w:r>
      <w:r w:rsidR="002225F1">
        <w:rPr>
          <w:rFonts w:asciiTheme="minorHAnsi" w:hAnsiTheme="minorHAnsi" w:cstheme="minorHAnsi"/>
          <w:i/>
          <w:color w:val="00B0F0"/>
          <w:sz w:val="22"/>
          <w:szCs w:val="22"/>
        </w:rPr>
        <w:t>.</w:t>
      </w:r>
      <w:r w:rsidR="00235CF6" w:rsidRPr="008F10A5">
        <w:rPr>
          <w:rFonts w:asciiTheme="minorHAnsi" w:hAnsiTheme="minorHAnsi" w:cstheme="minorHAnsi"/>
          <w:i/>
          <w:color w:val="00B0F0"/>
          <w:sz w:val="22"/>
          <w:szCs w:val="22"/>
        </w:rPr>
        <w:t xml:space="preserve"> </w:t>
      </w:r>
      <w:r w:rsidR="007F1D14" w:rsidRPr="00D76F19">
        <w:rPr>
          <w:rFonts w:asciiTheme="minorHAnsi" w:hAnsiTheme="minorHAnsi" w:cstheme="minorHAnsi"/>
          <w:i/>
          <w:color w:val="00B0F0"/>
          <w:sz w:val="22"/>
          <w:szCs w:val="22"/>
        </w:rPr>
        <w:t xml:space="preserve">This should include the process for notification of the </w:t>
      </w:r>
      <w:r w:rsidR="007F1D14">
        <w:rPr>
          <w:rFonts w:asciiTheme="minorHAnsi" w:hAnsiTheme="minorHAnsi" w:cstheme="minorHAnsi"/>
          <w:i/>
          <w:color w:val="00B0F0"/>
          <w:sz w:val="22"/>
          <w:szCs w:val="22"/>
        </w:rPr>
        <w:t xml:space="preserve">DSMB, local and central </w:t>
      </w:r>
      <w:r w:rsidR="007F1D14" w:rsidRPr="00D76F19">
        <w:rPr>
          <w:rFonts w:asciiTheme="minorHAnsi" w:hAnsiTheme="minorHAnsi" w:cstheme="minorHAnsi"/>
          <w:i/>
          <w:color w:val="00B0F0"/>
          <w:sz w:val="22"/>
          <w:szCs w:val="22"/>
        </w:rPr>
        <w:t>IRB</w:t>
      </w:r>
      <w:r w:rsidR="007F1D14">
        <w:rPr>
          <w:rFonts w:asciiTheme="minorHAnsi" w:hAnsiTheme="minorHAnsi" w:cstheme="minorHAnsi"/>
          <w:i/>
          <w:color w:val="00B0F0"/>
          <w:sz w:val="22"/>
          <w:szCs w:val="22"/>
        </w:rPr>
        <w:t>s</w:t>
      </w:r>
      <w:r w:rsidR="007F1D14" w:rsidRPr="00D76F19">
        <w:rPr>
          <w:rFonts w:asciiTheme="minorHAnsi" w:hAnsiTheme="minorHAnsi" w:cstheme="minorHAnsi"/>
          <w:i/>
          <w:color w:val="00B0F0"/>
          <w:sz w:val="22"/>
          <w:szCs w:val="22"/>
        </w:rPr>
        <w:t>,</w:t>
      </w:r>
      <w:r w:rsidR="002225F1">
        <w:rPr>
          <w:rFonts w:asciiTheme="minorHAnsi" w:hAnsiTheme="minorHAnsi" w:cstheme="minorHAnsi"/>
          <w:i/>
          <w:color w:val="00B0F0"/>
          <w:sz w:val="22"/>
          <w:szCs w:val="22"/>
        </w:rPr>
        <w:t xml:space="preserve"> s</w:t>
      </w:r>
      <w:r w:rsidR="0005204A">
        <w:rPr>
          <w:rFonts w:asciiTheme="minorHAnsi" w:hAnsiTheme="minorHAnsi" w:cstheme="minorHAnsi"/>
          <w:i/>
          <w:color w:val="00B0F0"/>
          <w:sz w:val="22"/>
          <w:szCs w:val="22"/>
        </w:rPr>
        <w:t xml:space="preserve">ponsor, etc. </w:t>
      </w:r>
      <w:r>
        <w:rPr>
          <w:rFonts w:asciiTheme="minorHAnsi" w:hAnsiTheme="minorHAnsi" w:cstheme="minorHAnsi"/>
          <w:i/>
          <w:color w:val="00B0F0"/>
          <w:sz w:val="22"/>
          <w:szCs w:val="22"/>
        </w:rPr>
        <w:t>]</w:t>
      </w:r>
    </w:p>
    <w:p w14:paraId="6E783815" w14:textId="77777777" w:rsidR="00391A32" w:rsidRPr="008D5E59" w:rsidRDefault="00391A32" w:rsidP="00391A32">
      <w:pPr>
        <w:pStyle w:val="tabletext"/>
        <w:spacing w:before="0"/>
        <w:ind w:left="288"/>
        <w:rPr>
          <w:rFonts w:asciiTheme="minorHAnsi" w:hAnsiTheme="minorHAnsi" w:cstheme="minorHAnsi"/>
          <w:sz w:val="22"/>
          <w:szCs w:val="22"/>
        </w:rPr>
      </w:pPr>
    </w:p>
    <w:p w14:paraId="1F500BCA" w14:textId="1A283A92" w:rsidR="00E67334" w:rsidRPr="00E67334" w:rsidRDefault="00E67334" w:rsidP="00E54A87">
      <w:pPr>
        <w:pStyle w:val="tabletext"/>
        <w:spacing w:before="0"/>
        <w:ind w:left="360"/>
        <w:rPr>
          <w:rFonts w:asciiTheme="minorHAnsi" w:hAnsiTheme="minorHAnsi" w:cstheme="minorHAnsi"/>
          <w:b/>
          <w:sz w:val="22"/>
          <w:szCs w:val="22"/>
        </w:rPr>
      </w:pPr>
      <w:r w:rsidRPr="00E67334">
        <w:rPr>
          <w:rFonts w:asciiTheme="minorHAnsi" w:hAnsiTheme="minorHAnsi" w:cstheme="minorHAnsi"/>
          <w:b/>
          <w:sz w:val="22"/>
          <w:szCs w:val="22"/>
        </w:rPr>
        <w:t>External Safety Report</w:t>
      </w:r>
      <w:r>
        <w:rPr>
          <w:rFonts w:asciiTheme="minorHAnsi" w:hAnsiTheme="minorHAnsi" w:cstheme="minorHAnsi"/>
          <w:b/>
          <w:sz w:val="22"/>
          <w:szCs w:val="22"/>
        </w:rPr>
        <w:t>ing</w:t>
      </w:r>
    </w:p>
    <w:p w14:paraId="42430E89" w14:textId="77777777" w:rsidR="00E67334" w:rsidRDefault="00E67334" w:rsidP="00E54A87">
      <w:pPr>
        <w:pStyle w:val="tabletext"/>
        <w:spacing w:before="0"/>
        <w:ind w:left="360"/>
        <w:rPr>
          <w:rFonts w:asciiTheme="minorHAnsi" w:hAnsiTheme="minorHAnsi" w:cstheme="minorHAnsi"/>
          <w:i/>
          <w:color w:val="00B0F0"/>
          <w:sz w:val="22"/>
          <w:szCs w:val="22"/>
        </w:rPr>
      </w:pPr>
    </w:p>
    <w:p w14:paraId="7F92D31A" w14:textId="1925A332" w:rsidR="00391A32" w:rsidRDefault="00391A32" w:rsidP="00E54A87">
      <w:pPr>
        <w:pStyle w:val="tabletext"/>
        <w:spacing w:before="0"/>
        <w:ind w:left="360"/>
        <w:rPr>
          <w:rFonts w:asciiTheme="minorHAnsi" w:hAnsiTheme="minorHAnsi" w:cstheme="minorHAnsi"/>
          <w:i/>
          <w:color w:val="00B0F0"/>
          <w:sz w:val="22"/>
          <w:szCs w:val="22"/>
        </w:rPr>
      </w:pPr>
      <w:r>
        <w:rPr>
          <w:rFonts w:asciiTheme="minorHAnsi" w:hAnsiTheme="minorHAnsi" w:cstheme="minorHAnsi"/>
          <w:i/>
          <w:color w:val="00B0F0"/>
          <w:sz w:val="22"/>
          <w:szCs w:val="22"/>
        </w:rPr>
        <w:t>[D</w:t>
      </w:r>
      <w:r w:rsidRPr="008F10A5">
        <w:rPr>
          <w:rFonts w:asciiTheme="minorHAnsi" w:hAnsiTheme="minorHAnsi" w:cstheme="minorHAnsi"/>
          <w:i/>
          <w:color w:val="00B0F0"/>
          <w:sz w:val="22"/>
          <w:szCs w:val="22"/>
        </w:rPr>
        <w:t xml:space="preserve">escribe the process for </w:t>
      </w:r>
      <w:r>
        <w:rPr>
          <w:rFonts w:asciiTheme="minorHAnsi" w:hAnsiTheme="minorHAnsi" w:cstheme="minorHAnsi"/>
          <w:i/>
          <w:color w:val="00B0F0"/>
          <w:sz w:val="22"/>
          <w:szCs w:val="22"/>
        </w:rPr>
        <w:t xml:space="preserve">the management, </w:t>
      </w:r>
      <w:r w:rsidR="008859BB">
        <w:rPr>
          <w:rFonts w:asciiTheme="minorHAnsi" w:hAnsiTheme="minorHAnsi" w:cstheme="minorHAnsi"/>
          <w:i/>
          <w:color w:val="00B0F0"/>
          <w:sz w:val="22"/>
          <w:szCs w:val="22"/>
        </w:rPr>
        <w:t>review,</w:t>
      </w:r>
      <w:r>
        <w:rPr>
          <w:rFonts w:asciiTheme="minorHAnsi" w:hAnsiTheme="minorHAnsi" w:cstheme="minorHAnsi"/>
          <w:i/>
          <w:color w:val="00B0F0"/>
          <w:sz w:val="22"/>
          <w:szCs w:val="22"/>
        </w:rPr>
        <w:t xml:space="preserve"> </w:t>
      </w:r>
      <w:r w:rsidR="006360B5">
        <w:rPr>
          <w:rFonts w:asciiTheme="minorHAnsi" w:hAnsiTheme="minorHAnsi" w:cstheme="minorHAnsi"/>
          <w:i/>
          <w:color w:val="00B0F0"/>
          <w:sz w:val="22"/>
          <w:szCs w:val="22"/>
        </w:rPr>
        <w:t>and submission of External Safet</w:t>
      </w:r>
      <w:r>
        <w:rPr>
          <w:rFonts w:asciiTheme="minorHAnsi" w:hAnsiTheme="minorHAnsi" w:cstheme="minorHAnsi"/>
          <w:i/>
          <w:color w:val="00B0F0"/>
          <w:sz w:val="22"/>
          <w:szCs w:val="22"/>
        </w:rPr>
        <w:t xml:space="preserve">y Reports. </w:t>
      </w:r>
      <w:r w:rsidR="00A539DA">
        <w:rPr>
          <w:rFonts w:asciiTheme="minorHAnsi" w:hAnsiTheme="minorHAnsi" w:cstheme="minorHAnsi"/>
          <w:i/>
          <w:color w:val="00B0F0"/>
          <w:sz w:val="22"/>
          <w:szCs w:val="22"/>
        </w:rPr>
        <w:t>This may</w:t>
      </w:r>
      <w:r w:rsidRPr="00D76F19">
        <w:rPr>
          <w:rFonts w:asciiTheme="minorHAnsi" w:hAnsiTheme="minorHAnsi" w:cstheme="minorHAnsi"/>
          <w:i/>
          <w:color w:val="00B0F0"/>
          <w:sz w:val="22"/>
          <w:szCs w:val="22"/>
        </w:rPr>
        <w:t xml:space="preserve"> include</w:t>
      </w:r>
      <w:r w:rsidR="006360B5">
        <w:rPr>
          <w:rFonts w:asciiTheme="minorHAnsi" w:hAnsiTheme="minorHAnsi" w:cstheme="minorHAnsi"/>
          <w:i/>
          <w:color w:val="00B0F0"/>
          <w:sz w:val="22"/>
          <w:szCs w:val="22"/>
        </w:rPr>
        <w:t xml:space="preserve"> the process for notification to</w:t>
      </w:r>
      <w:r w:rsidRPr="00D76F19">
        <w:rPr>
          <w:rFonts w:asciiTheme="minorHAnsi" w:hAnsiTheme="minorHAnsi" w:cstheme="minorHAnsi"/>
          <w:i/>
          <w:color w:val="00B0F0"/>
          <w:sz w:val="22"/>
          <w:szCs w:val="22"/>
        </w:rPr>
        <w:t xml:space="preserve"> the </w:t>
      </w:r>
      <w:r>
        <w:rPr>
          <w:rFonts w:asciiTheme="minorHAnsi" w:hAnsiTheme="minorHAnsi" w:cstheme="minorHAnsi"/>
          <w:i/>
          <w:color w:val="00B0F0"/>
          <w:sz w:val="22"/>
          <w:szCs w:val="22"/>
        </w:rPr>
        <w:t xml:space="preserve">DSMB, local and central </w:t>
      </w:r>
      <w:r w:rsidRPr="00D76F19">
        <w:rPr>
          <w:rFonts w:asciiTheme="minorHAnsi" w:hAnsiTheme="minorHAnsi" w:cstheme="minorHAnsi"/>
          <w:i/>
          <w:color w:val="00B0F0"/>
          <w:sz w:val="22"/>
          <w:szCs w:val="22"/>
        </w:rPr>
        <w:t>IRB</w:t>
      </w:r>
      <w:r>
        <w:rPr>
          <w:rFonts w:asciiTheme="minorHAnsi" w:hAnsiTheme="minorHAnsi" w:cstheme="minorHAnsi"/>
          <w:i/>
          <w:color w:val="00B0F0"/>
          <w:sz w:val="22"/>
          <w:szCs w:val="22"/>
        </w:rPr>
        <w:t>s</w:t>
      </w:r>
      <w:r w:rsidRPr="00D76F19">
        <w:rPr>
          <w:rFonts w:asciiTheme="minorHAnsi" w:hAnsiTheme="minorHAnsi" w:cstheme="minorHAnsi"/>
          <w:i/>
          <w:color w:val="00B0F0"/>
          <w:sz w:val="22"/>
          <w:szCs w:val="22"/>
        </w:rPr>
        <w:t>,</w:t>
      </w:r>
      <w:r>
        <w:rPr>
          <w:rFonts w:asciiTheme="minorHAnsi" w:hAnsiTheme="minorHAnsi" w:cstheme="minorHAnsi"/>
          <w:i/>
          <w:color w:val="00B0F0"/>
          <w:sz w:val="22"/>
          <w:szCs w:val="22"/>
        </w:rPr>
        <w:t xml:space="preserve"> sponsor, etc.</w:t>
      </w:r>
      <w:r w:rsidR="00A5045C">
        <w:rPr>
          <w:rFonts w:asciiTheme="minorHAnsi" w:hAnsiTheme="minorHAnsi" w:cstheme="minorHAnsi"/>
          <w:i/>
          <w:color w:val="00B0F0"/>
          <w:sz w:val="22"/>
          <w:szCs w:val="22"/>
        </w:rPr>
        <w:t>]</w:t>
      </w:r>
    </w:p>
    <w:p w14:paraId="120BE7A1" w14:textId="77777777" w:rsidR="00391A32" w:rsidRPr="00D76F19" w:rsidRDefault="00391A32" w:rsidP="00E54A87">
      <w:pPr>
        <w:pStyle w:val="tabletext"/>
        <w:spacing w:before="0"/>
        <w:ind w:left="360"/>
        <w:rPr>
          <w:rFonts w:cstheme="minorHAnsi"/>
        </w:rPr>
      </w:pPr>
    </w:p>
    <w:p w14:paraId="4EE96498" w14:textId="77777777" w:rsidR="00331682" w:rsidRPr="008D5E59" w:rsidRDefault="00331682" w:rsidP="00ED4FE1">
      <w:pPr>
        <w:widowControl w:val="0"/>
        <w:autoSpaceDE w:val="0"/>
        <w:autoSpaceDN w:val="0"/>
        <w:adjustRightInd w:val="0"/>
        <w:spacing w:after="0" w:line="239" w:lineRule="auto"/>
        <w:ind w:left="360" w:right="720"/>
      </w:pPr>
    </w:p>
    <w:p w14:paraId="093E21B3" w14:textId="3E4C61A1" w:rsidR="00ED4FE1" w:rsidRDefault="00ED4FE1" w:rsidP="00ED4FE1">
      <w:pPr>
        <w:widowControl w:val="0"/>
        <w:autoSpaceDE w:val="0"/>
        <w:autoSpaceDN w:val="0"/>
        <w:adjustRightInd w:val="0"/>
        <w:spacing w:after="0" w:line="239" w:lineRule="auto"/>
        <w:ind w:left="360" w:right="720"/>
        <w:rPr>
          <w:rFonts w:cs="Calibri"/>
          <w:b/>
        </w:rPr>
      </w:pPr>
      <w:r>
        <w:rPr>
          <w:b/>
        </w:rPr>
        <w:t xml:space="preserve">Additional </w:t>
      </w:r>
      <w:r w:rsidRPr="00741EAA">
        <w:rPr>
          <w:b/>
        </w:rPr>
        <w:t>Procedures</w:t>
      </w:r>
      <w:r>
        <w:rPr>
          <w:rFonts w:cs="Calibri"/>
        </w:rPr>
        <w:tab/>
      </w:r>
      <w:r>
        <w:rPr>
          <w:rFonts w:cs="Calibri"/>
        </w:rPr>
        <w:tab/>
      </w:r>
      <w:sdt>
        <w:sdtPr>
          <w:rPr>
            <w:rFonts w:cs="Calibri"/>
            <w:b/>
          </w:rPr>
          <w:id w:val="1584957525"/>
          <w14:checkbox>
            <w14:checked w14:val="0"/>
            <w14:checkedState w14:val="2612" w14:font="MS Gothic"/>
            <w14:uncheckedState w14:val="2610" w14:font="MS Gothic"/>
          </w14:checkbox>
        </w:sdtPr>
        <w:sdtEndPr/>
        <w:sdtContent>
          <w:r w:rsidRPr="0026204C">
            <w:rPr>
              <w:rFonts w:ascii="MS Gothic" w:eastAsia="MS Gothic" w:hAnsi="MS Gothic" w:cs="Calibri" w:hint="eastAsia"/>
              <w:b/>
            </w:rPr>
            <w:t>☐</w:t>
          </w:r>
        </w:sdtContent>
      </w:sdt>
      <w:r w:rsidRPr="0026204C">
        <w:rPr>
          <w:rFonts w:cs="Calibri"/>
          <w:b/>
        </w:rPr>
        <w:t xml:space="preserve"> N/A</w:t>
      </w:r>
      <w:r>
        <w:rPr>
          <w:rFonts w:cs="Calibri"/>
          <w:b/>
        </w:rPr>
        <w:t xml:space="preserve"> </w:t>
      </w:r>
    </w:p>
    <w:p w14:paraId="46E5B308" w14:textId="77777777" w:rsidR="00331682" w:rsidRPr="008D5E59" w:rsidRDefault="00331682" w:rsidP="00ED4FE1">
      <w:pPr>
        <w:widowControl w:val="0"/>
        <w:autoSpaceDE w:val="0"/>
        <w:autoSpaceDN w:val="0"/>
        <w:adjustRightInd w:val="0"/>
        <w:spacing w:after="0" w:line="239" w:lineRule="auto"/>
        <w:ind w:left="360" w:right="720"/>
        <w:rPr>
          <w:rFonts w:cs="Calibri"/>
        </w:rPr>
      </w:pPr>
    </w:p>
    <w:p w14:paraId="14540B3F" w14:textId="5F5DE981" w:rsidR="00ED4FE1" w:rsidRPr="00B068E2" w:rsidRDefault="00ED4FE1" w:rsidP="00E10D13">
      <w:pPr>
        <w:widowControl w:val="0"/>
        <w:autoSpaceDE w:val="0"/>
        <w:autoSpaceDN w:val="0"/>
        <w:adjustRightInd w:val="0"/>
        <w:spacing w:after="0" w:line="239" w:lineRule="auto"/>
        <w:ind w:left="360" w:right="720"/>
        <w:rPr>
          <w:b/>
          <w:i/>
        </w:rPr>
      </w:pPr>
      <w:r w:rsidRPr="00B068E2">
        <w:rPr>
          <w:i/>
          <w:color w:val="00B0F0"/>
        </w:rPr>
        <w:t>[</w:t>
      </w:r>
      <w:r>
        <w:rPr>
          <w:i/>
          <w:color w:val="00B0F0"/>
        </w:rPr>
        <w:t>Optional: Insert</w:t>
      </w:r>
      <w:r w:rsidRPr="00B068E2">
        <w:rPr>
          <w:i/>
          <w:color w:val="00B0F0"/>
        </w:rPr>
        <w:t xml:space="preserve"> any additional relevant </w:t>
      </w:r>
      <w:r>
        <w:rPr>
          <w:i/>
          <w:color w:val="00B0F0"/>
        </w:rPr>
        <w:t>procedures. Provide enough detail to ensure the procedure is consistently carried out, without providing so much detail that violations occur due to normal or expected variations in the work.</w:t>
      </w:r>
      <w:r w:rsidRPr="00B068E2">
        <w:rPr>
          <w:i/>
          <w:color w:val="00B0F0"/>
        </w:rPr>
        <w:t>]</w:t>
      </w:r>
    </w:p>
    <w:p w14:paraId="218F85C3" w14:textId="77777777" w:rsidR="002225F1" w:rsidRPr="00D76F19" w:rsidRDefault="002225F1" w:rsidP="002F447E">
      <w:pPr>
        <w:spacing w:after="0" w:line="240" w:lineRule="auto"/>
        <w:ind w:right="-20"/>
        <w:rPr>
          <w:rFonts w:eastAsia="Times New Roman" w:cstheme="minorHAnsi"/>
        </w:rPr>
      </w:pPr>
    </w:p>
    <w:p w14:paraId="6D1B7EFD" w14:textId="5512E8EB" w:rsidR="0086304B" w:rsidRPr="001956F1" w:rsidRDefault="0086304B" w:rsidP="001956F1">
      <w:pPr>
        <w:pStyle w:val="ListParagraph"/>
        <w:numPr>
          <w:ilvl w:val="0"/>
          <w:numId w:val="10"/>
        </w:numPr>
        <w:spacing w:after="0" w:line="240" w:lineRule="auto"/>
        <w:rPr>
          <w:b/>
        </w:rPr>
      </w:pPr>
      <w:r w:rsidRPr="001956F1">
        <w:rPr>
          <w:rFonts w:ascii="Calibri" w:eastAsia="Calibri" w:hAnsi="Calibri" w:cs="Calibri"/>
          <w:b/>
          <w:bCs/>
        </w:rPr>
        <w:t>REFER</w:t>
      </w:r>
      <w:r w:rsidRPr="001956F1">
        <w:rPr>
          <w:rFonts w:ascii="Calibri" w:eastAsia="Calibri" w:hAnsi="Calibri" w:cs="Calibri"/>
          <w:b/>
          <w:bCs/>
          <w:spacing w:val="-2"/>
        </w:rPr>
        <w:t>E</w:t>
      </w:r>
      <w:r w:rsidRPr="001956F1">
        <w:rPr>
          <w:rFonts w:ascii="Calibri" w:eastAsia="Calibri" w:hAnsi="Calibri" w:cs="Calibri"/>
          <w:b/>
          <w:bCs/>
          <w:spacing w:val="1"/>
        </w:rPr>
        <w:t>NC</w:t>
      </w:r>
      <w:r w:rsidRPr="001956F1">
        <w:rPr>
          <w:rFonts w:ascii="Calibri" w:eastAsia="Calibri" w:hAnsi="Calibri" w:cs="Calibri"/>
          <w:b/>
          <w:bCs/>
        </w:rPr>
        <w:t>ES</w:t>
      </w:r>
    </w:p>
    <w:p w14:paraId="0DE727CE" w14:textId="59C28294" w:rsidR="00257DA5" w:rsidRDefault="00257DA5" w:rsidP="00257DA5">
      <w:pPr>
        <w:spacing w:after="0" w:line="240" w:lineRule="auto"/>
        <w:ind w:left="360" w:right="-20"/>
        <w:rPr>
          <w:rFonts w:cstheme="minorHAnsi"/>
        </w:rPr>
      </w:pPr>
      <w:r>
        <w:rPr>
          <w:rFonts w:cstheme="minorHAnsi"/>
        </w:rPr>
        <w:t xml:space="preserve">FDA </w:t>
      </w:r>
      <w:r w:rsidR="00450892">
        <w:rPr>
          <w:rFonts w:cstheme="minorHAnsi"/>
        </w:rPr>
        <w:t xml:space="preserve">- </w:t>
      </w:r>
      <w:r>
        <w:rPr>
          <w:rFonts w:cstheme="minorHAnsi"/>
        </w:rPr>
        <w:t xml:space="preserve">Guidance for Industry and Investigators: Safety Reporting Requirements of INDs and BA/BE </w:t>
      </w:r>
      <w:r w:rsidR="00BF6506">
        <w:rPr>
          <w:rFonts w:cstheme="minorHAnsi"/>
        </w:rPr>
        <w:t xml:space="preserve">(Bioavailability and bioequivalence) </w:t>
      </w:r>
      <w:r>
        <w:rPr>
          <w:rFonts w:cstheme="minorHAnsi"/>
        </w:rPr>
        <w:t>Studies:</w:t>
      </w:r>
    </w:p>
    <w:p w14:paraId="204922D2" w14:textId="7B483138" w:rsidR="00CB607B" w:rsidRDefault="00E319A6" w:rsidP="00257DA5">
      <w:pPr>
        <w:spacing w:after="0" w:line="240" w:lineRule="auto"/>
        <w:ind w:left="360" w:right="-20"/>
      </w:pPr>
      <w:hyperlink r:id="rId13" w:history="1">
        <w:r w:rsidR="0031772E">
          <w:rPr>
            <w:rStyle w:val="Hyperlink"/>
          </w:rPr>
          <w:t>https://www.fda.gov/media/85124/download</w:t>
        </w:r>
      </w:hyperlink>
    </w:p>
    <w:p w14:paraId="1B952E2D" w14:textId="77777777" w:rsidR="0031772E" w:rsidRDefault="0031772E" w:rsidP="00257DA5">
      <w:pPr>
        <w:spacing w:after="0" w:line="240" w:lineRule="auto"/>
        <w:ind w:left="360" w:right="-20"/>
        <w:rPr>
          <w:rFonts w:cstheme="minorHAnsi"/>
        </w:rPr>
      </w:pPr>
    </w:p>
    <w:p w14:paraId="5E0E05DD" w14:textId="21FA58CE" w:rsidR="001A7C7E" w:rsidRDefault="001A7C7E" w:rsidP="00C66B9D">
      <w:pPr>
        <w:spacing w:after="0" w:line="240" w:lineRule="auto"/>
        <w:ind w:left="360" w:right="-20"/>
        <w:rPr>
          <w:rFonts w:cstheme="minorHAnsi"/>
          <w:bCs/>
        </w:rPr>
      </w:pPr>
      <w:r>
        <w:rPr>
          <w:color w:val="333333"/>
          <w:lang w:val="en"/>
        </w:rPr>
        <w:t>FDA</w:t>
      </w:r>
      <w:r w:rsidR="00D802D6">
        <w:rPr>
          <w:color w:val="333333"/>
          <w:lang w:val="en"/>
        </w:rPr>
        <w:t xml:space="preserve"> - </w:t>
      </w:r>
      <w:r>
        <w:rPr>
          <w:color w:val="333333"/>
          <w:lang w:val="en"/>
        </w:rPr>
        <w:t xml:space="preserve">Investigational New Drug (IND) or Device Exemption (IDE) Process (CBER) </w:t>
      </w:r>
      <w:hyperlink r:id="rId14" w:history="1">
        <w:r w:rsidRPr="000D28A9">
          <w:rPr>
            <w:rStyle w:val="Hyperlink"/>
            <w:rFonts w:cstheme="minorHAnsi"/>
            <w:bCs/>
          </w:rPr>
          <w:t>http://www.fda.gov/BiologicsBloodVaccines/DevelopmentApprovalProcess/InvestigationalNewDrugINDorDeviceExemptionIDEProcess/</w:t>
        </w:r>
      </w:hyperlink>
    </w:p>
    <w:p w14:paraId="3646DDF8" w14:textId="77777777" w:rsidR="001A7C7E" w:rsidRDefault="001A7C7E" w:rsidP="00C66B9D">
      <w:pPr>
        <w:spacing w:after="0" w:line="240" w:lineRule="auto"/>
        <w:ind w:left="360" w:right="-20"/>
        <w:rPr>
          <w:rFonts w:cstheme="minorHAnsi"/>
          <w:bCs/>
        </w:rPr>
      </w:pPr>
    </w:p>
    <w:p w14:paraId="21A5E0D2" w14:textId="44168BC6" w:rsidR="00CB5ED5" w:rsidRDefault="00CB5ED5" w:rsidP="00C66B9D">
      <w:pPr>
        <w:spacing w:after="0" w:line="240" w:lineRule="auto"/>
        <w:ind w:left="360" w:right="-20"/>
        <w:rPr>
          <w:color w:val="333333"/>
          <w:lang w:val="en"/>
        </w:rPr>
      </w:pPr>
      <w:r>
        <w:rPr>
          <w:color w:val="333333"/>
          <w:lang w:val="en"/>
        </w:rPr>
        <w:t>FDA - Investigational Device Exemptions - Definitions:</w:t>
      </w:r>
    </w:p>
    <w:p w14:paraId="0FE0F4A8" w14:textId="1AB91166" w:rsidR="00CB5ED5" w:rsidRDefault="00E319A6" w:rsidP="00C66B9D">
      <w:pPr>
        <w:spacing w:after="0" w:line="240" w:lineRule="auto"/>
        <w:ind w:left="360" w:right="-20"/>
        <w:rPr>
          <w:rFonts w:cstheme="minorHAnsi"/>
          <w:bCs/>
        </w:rPr>
      </w:pPr>
      <w:hyperlink r:id="rId15" w:history="1">
        <w:r w:rsidR="00CB5ED5" w:rsidRPr="00E239E6">
          <w:rPr>
            <w:rStyle w:val="Hyperlink"/>
            <w:rFonts w:cstheme="minorHAnsi"/>
            <w:bCs/>
          </w:rPr>
          <w:t>http://www.accessdata.fda.gov/scripts/cdrh/cfdocs/cfcfr/CFRSearch.cfm?fr=812.3</w:t>
        </w:r>
      </w:hyperlink>
      <w:r w:rsidR="00CB5ED5">
        <w:rPr>
          <w:rFonts w:cstheme="minorHAnsi"/>
          <w:bCs/>
        </w:rPr>
        <w:t xml:space="preserve"> </w:t>
      </w:r>
    </w:p>
    <w:p w14:paraId="199FA6D6" w14:textId="77777777" w:rsidR="005C574E" w:rsidRDefault="005C574E" w:rsidP="00C66B9D">
      <w:pPr>
        <w:spacing w:after="0" w:line="240" w:lineRule="auto"/>
        <w:ind w:left="360" w:right="-20"/>
        <w:rPr>
          <w:rFonts w:cstheme="minorHAnsi"/>
          <w:bCs/>
        </w:rPr>
      </w:pPr>
    </w:p>
    <w:p w14:paraId="1CD01565" w14:textId="37BA8697" w:rsidR="005C574E" w:rsidRDefault="005C574E" w:rsidP="00C66B9D">
      <w:pPr>
        <w:spacing w:after="0" w:line="240" w:lineRule="auto"/>
        <w:ind w:left="360" w:right="-20"/>
        <w:rPr>
          <w:rFonts w:cstheme="minorHAnsi"/>
          <w:bCs/>
        </w:rPr>
      </w:pPr>
      <w:r>
        <w:rPr>
          <w:rFonts w:cstheme="minorHAnsi"/>
          <w:bCs/>
        </w:rPr>
        <w:t>FDA - IRB Functions and O</w:t>
      </w:r>
      <w:r w:rsidRPr="005C574E">
        <w:rPr>
          <w:rFonts w:cstheme="minorHAnsi"/>
          <w:bCs/>
        </w:rPr>
        <w:t>perations</w:t>
      </w:r>
      <w:r>
        <w:rPr>
          <w:rFonts w:cstheme="minorHAnsi"/>
          <w:bCs/>
        </w:rPr>
        <w:t>:</w:t>
      </w:r>
    </w:p>
    <w:p w14:paraId="45FD2811" w14:textId="60457F34" w:rsidR="00CB5ED5" w:rsidRDefault="00E319A6" w:rsidP="00C66B9D">
      <w:pPr>
        <w:spacing w:after="0" w:line="240" w:lineRule="auto"/>
        <w:ind w:left="360" w:right="-20"/>
      </w:pPr>
      <w:hyperlink r:id="rId16" w:history="1">
        <w:r w:rsidR="009A3E9B">
          <w:rPr>
            <w:rStyle w:val="Hyperlink"/>
          </w:rPr>
          <w:t>CFR - Code of Federal Regulations Title 21 (fda.gov)</w:t>
        </w:r>
      </w:hyperlink>
    </w:p>
    <w:p w14:paraId="652DD3DE" w14:textId="6ADC1287" w:rsidR="00C45D19" w:rsidRDefault="00C45D19" w:rsidP="00C66B9D">
      <w:pPr>
        <w:spacing w:after="0" w:line="240" w:lineRule="auto"/>
        <w:ind w:left="360" w:right="-20"/>
      </w:pPr>
    </w:p>
    <w:p w14:paraId="17BFB24B" w14:textId="158ADF1A" w:rsidR="00C45D19" w:rsidRDefault="00C45D19" w:rsidP="00C66B9D">
      <w:pPr>
        <w:spacing w:after="0" w:line="240" w:lineRule="auto"/>
        <w:ind w:left="360" w:right="-20"/>
      </w:pPr>
      <w:r>
        <w:t xml:space="preserve">FDA – </w:t>
      </w:r>
      <w:r w:rsidR="00515A7E">
        <w:t xml:space="preserve">Investigation </w:t>
      </w:r>
      <w:r>
        <w:t>New Drug -General provisions 312.32 (c) (1)</w:t>
      </w:r>
    </w:p>
    <w:p w14:paraId="6C687F1B" w14:textId="2FBE345E" w:rsidR="00C45D19" w:rsidRDefault="00E319A6" w:rsidP="00C66B9D">
      <w:pPr>
        <w:spacing w:after="0" w:line="240" w:lineRule="auto"/>
        <w:ind w:left="360" w:right="-20"/>
      </w:pPr>
      <w:hyperlink r:id="rId17" w:history="1">
        <w:r w:rsidR="00C45D19">
          <w:rPr>
            <w:rStyle w:val="Hyperlink"/>
          </w:rPr>
          <w:t>eCFR :: 21 CFR Part 312 -- Investigational New Drug Application</w:t>
        </w:r>
      </w:hyperlink>
    </w:p>
    <w:p w14:paraId="3465463D" w14:textId="77777777" w:rsidR="006A0929" w:rsidRDefault="006A0929" w:rsidP="00C66B9D">
      <w:pPr>
        <w:spacing w:after="0" w:line="240" w:lineRule="auto"/>
        <w:ind w:left="360" w:right="-20"/>
        <w:rPr>
          <w:rFonts w:cstheme="minorHAnsi"/>
          <w:bCs/>
        </w:rPr>
      </w:pPr>
    </w:p>
    <w:p w14:paraId="37C213DD" w14:textId="4718F9E3" w:rsidR="00C655DF" w:rsidRPr="008539A4" w:rsidRDefault="00C655DF" w:rsidP="00C66B9D">
      <w:pPr>
        <w:spacing w:after="0" w:line="240" w:lineRule="auto"/>
        <w:ind w:left="360" w:right="-20"/>
      </w:pPr>
      <w:r w:rsidRPr="00C655DF">
        <w:t>FDA -</w:t>
      </w:r>
      <w:r w:rsidRPr="008539A4">
        <w:t xml:space="preserve"> 312.53 Selecting investigators and monitors</w:t>
      </w:r>
    </w:p>
    <w:p w14:paraId="243753E8" w14:textId="5A88CD77" w:rsidR="00C655DF" w:rsidRDefault="00E319A6" w:rsidP="00C66B9D">
      <w:pPr>
        <w:spacing w:after="0" w:line="240" w:lineRule="auto"/>
        <w:ind w:left="360" w:right="-20"/>
      </w:pPr>
      <w:hyperlink r:id="rId18" w:history="1">
        <w:r w:rsidR="00C655DF">
          <w:rPr>
            <w:rStyle w:val="Hyperlink"/>
          </w:rPr>
          <w:t>CFR - Code of Federal Regulations Title 21 (fda.gov)</w:t>
        </w:r>
      </w:hyperlink>
    </w:p>
    <w:p w14:paraId="4D3F33FC" w14:textId="69CDCE8B" w:rsidR="009A3E9B" w:rsidRDefault="009A3E9B" w:rsidP="00C66B9D">
      <w:pPr>
        <w:spacing w:after="0" w:line="240" w:lineRule="auto"/>
        <w:ind w:left="360" w:right="-20"/>
      </w:pPr>
    </w:p>
    <w:p w14:paraId="17798935" w14:textId="6AFD99A5" w:rsidR="009A3E9B" w:rsidRDefault="009A3E9B" w:rsidP="00C66B9D">
      <w:pPr>
        <w:spacing w:after="0" w:line="240" w:lineRule="auto"/>
        <w:ind w:left="360" w:right="-20"/>
      </w:pPr>
      <w:r>
        <w:t>FDA – 312.66 Responsibilities of Sponsors and Investigators</w:t>
      </w:r>
    </w:p>
    <w:p w14:paraId="1DFC4747" w14:textId="581FEB9B" w:rsidR="009A3E9B" w:rsidRDefault="00E319A6" w:rsidP="00C66B9D">
      <w:pPr>
        <w:spacing w:after="0" w:line="240" w:lineRule="auto"/>
        <w:ind w:left="360" w:right="-20"/>
        <w:rPr>
          <w:rFonts w:ascii="Courier New" w:hAnsi="Courier New" w:cs="Courier New"/>
          <w:color w:val="23238E"/>
          <w:sz w:val="20"/>
          <w:szCs w:val="20"/>
          <w:shd w:val="clear" w:color="auto" w:fill="F9F9F3"/>
        </w:rPr>
      </w:pPr>
      <w:hyperlink r:id="rId19" w:history="1">
        <w:r w:rsidR="009A3E9B">
          <w:rPr>
            <w:rStyle w:val="Hyperlink"/>
          </w:rPr>
          <w:t>CFR - Code of Federal Regulations Title 21 (fda.gov)</w:t>
        </w:r>
      </w:hyperlink>
    </w:p>
    <w:p w14:paraId="034F0E4C" w14:textId="2F440308" w:rsidR="009A3E9B" w:rsidRDefault="009A3E9B" w:rsidP="006A0929">
      <w:pPr>
        <w:spacing w:after="0" w:line="240" w:lineRule="auto"/>
        <w:ind w:right="-20"/>
        <w:rPr>
          <w:rFonts w:cstheme="minorHAnsi"/>
          <w:bCs/>
        </w:rPr>
      </w:pPr>
    </w:p>
    <w:p w14:paraId="65131258" w14:textId="010B197D" w:rsidR="00C655DF" w:rsidRDefault="00C655DF" w:rsidP="00C66B9D">
      <w:pPr>
        <w:spacing w:after="0" w:line="240" w:lineRule="auto"/>
        <w:ind w:left="360" w:right="-20"/>
      </w:pPr>
      <w:r>
        <w:rPr>
          <w:rFonts w:cstheme="minorHAnsi"/>
          <w:bCs/>
        </w:rPr>
        <w:t>FDA -</w:t>
      </w:r>
      <w:r w:rsidRPr="00C655DF">
        <w:t xml:space="preserve"> </w:t>
      </w:r>
      <w:r>
        <w:t>IDE regulation 812.150</w:t>
      </w:r>
      <w:r w:rsidR="009A3E9B">
        <w:t xml:space="preserve"> </w:t>
      </w:r>
    </w:p>
    <w:p w14:paraId="753B29B9" w14:textId="79C2C09B" w:rsidR="00C655DF" w:rsidRDefault="00E319A6" w:rsidP="00C66B9D">
      <w:pPr>
        <w:spacing w:after="0" w:line="240" w:lineRule="auto"/>
        <w:ind w:left="360" w:right="-20"/>
        <w:rPr>
          <w:rFonts w:cstheme="minorHAnsi"/>
          <w:bCs/>
        </w:rPr>
      </w:pPr>
      <w:hyperlink r:id="rId20" w:history="1">
        <w:r w:rsidR="00C655DF">
          <w:rPr>
            <w:rStyle w:val="Hyperlink"/>
          </w:rPr>
          <w:t>eCFR :: Title 21 of the CFR -- Food and Drugs</w:t>
        </w:r>
      </w:hyperlink>
    </w:p>
    <w:p w14:paraId="47AD7488" w14:textId="77777777" w:rsidR="00C655DF" w:rsidRDefault="00C655DF" w:rsidP="00C66B9D">
      <w:pPr>
        <w:spacing w:after="0" w:line="240" w:lineRule="auto"/>
        <w:ind w:left="360" w:right="-20"/>
        <w:rPr>
          <w:rFonts w:cstheme="minorHAnsi"/>
          <w:bCs/>
        </w:rPr>
      </w:pPr>
    </w:p>
    <w:p w14:paraId="568F6FEA" w14:textId="40002366" w:rsidR="00025FF7" w:rsidRDefault="00514723" w:rsidP="00C66B9D">
      <w:pPr>
        <w:spacing w:after="0" w:line="240" w:lineRule="auto"/>
        <w:ind w:left="360" w:right="-20"/>
        <w:rPr>
          <w:rFonts w:cstheme="minorHAnsi"/>
          <w:bCs/>
        </w:rPr>
      </w:pPr>
      <w:r>
        <w:rPr>
          <w:rFonts w:cstheme="minorHAnsi"/>
          <w:bCs/>
        </w:rPr>
        <w:t>FDA</w:t>
      </w:r>
      <w:r w:rsidR="00CB607B">
        <w:rPr>
          <w:rFonts w:cstheme="minorHAnsi"/>
          <w:bCs/>
        </w:rPr>
        <w:t xml:space="preserve"> </w:t>
      </w:r>
      <w:r>
        <w:rPr>
          <w:rFonts w:cstheme="minorHAnsi"/>
          <w:bCs/>
        </w:rPr>
        <w:t xml:space="preserve">- </w:t>
      </w:r>
      <w:r w:rsidR="0037716A">
        <w:rPr>
          <w:rFonts w:cstheme="minorHAnsi"/>
          <w:bCs/>
        </w:rPr>
        <w:t>Reporting Serious Problems to FDA:</w:t>
      </w:r>
    </w:p>
    <w:p w14:paraId="4A70207D" w14:textId="2C672622" w:rsidR="00025FF7" w:rsidRDefault="00E319A6" w:rsidP="00C66B9D">
      <w:pPr>
        <w:spacing w:after="0" w:line="240" w:lineRule="auto"/>
        <w:ind w:left="360" w:right="-20"/>
      </w:pPr>
      <w:hyperlink r:id="rId21" w:history="1">
        <w:r w:rsidR="009A3E9B">
          <w:rPr>
            <w:rStyle w:val="Hyperlink"/>
          </w:rPr>
          <w:t>Reporting Serious Problems to FDA | FDA</w:t>
        </w:r>
      </w:hyperlink>
    </w:p>
    <w:p w14:paraId="0C2EB46E" w14:textId="77777777" w:rsidR="009A3E9B" w:rsidRDefault="009A3E9B" w:rsidP="00C66B9D">
      <w:pPr>
        <w:spacing w:after="0" w:line="240" w:lineRule="auto"/>
        <w:ind w:left="360" w:right="-20"/>
        <w:rPr>
          <w:rFonts w:cstheme="minorHAnsi"/>
          <w:bCs/>
        </w:rPr>
      </w:pPr>
    </w:p>
    <w:p w14:paraId="35180AB3" w14:textId="3A20678F" w:rsidR="00AF700E" w:rsidRDefault="00AF700E" w:rsidP="00C66B9D">
      <w:pPr>
        <w:widowControl w:val="0"/>
        <w:autoSpaceDE w:val="0"/>
        <w:autoSpaceDN w:val="0"/>
        <w:adjustRightInd w:val="0"/>
        <w:spacing w:after="0" w:line="239" w:lineRule="auto"/>
        <w:ind w:left="360" w:right="720"/>
      </w:pPr>
      <w:r w:rsidRPr="00AF700E">
        <w:t>International Council for Harmonisation</w:t>
      </w:r>
      <w:r w:rsidR="00C043FA">
        <w:t>:</w:t>
      </w:r>
    </w:p>
    <w:p w14:paraId="45FADD9E" w14:textId="14998562" w:rsidR="00293977" w:rsidRPr="00656EE2" w:rsidRDefault="00E319A6" w:rsidP="00293977">
      <w:pPr>
        <w:widowControl w:val="0"/>
        <w:autoSpaceDE w:val="0"/>
        <w:autoSpaceDN w:val="0"/>
        <w:adjustRightInd w:val="0"/>
        <w:spacing w:after="0" w:line="239" w:lineRule="auto"/>
        <w:ind w:left="360" w:right="720"/>
        <w:rPr>
          <w:rStyle w:val="Hyperlink"/>
        </w:rPr>
      </w:pPr>
      <w:hyperlink r:id="rId22" w:history="1">
        <w:r w:rsidR="00293977" w:rsidRPr="000B0212">
          <w:rPr>
            <w:rStyle w:val="Hyperlink"/>
          </w:rPr>
          <w:t>http://www.ich.org/</w:t>
        </w:r>
      </w:hyperlink>
      <w:r w:rsidR="00AE783C">
        <w:rPr>
          <w:rStyle w:val="Hyperlink"/>
        </w:rPr>
        <w:br/>
      </w:r>
      <w:hyperlink r:id="rId23" w:history="1">
        <w:r w:rsidR="00AE783C" w:rsidRPr="009A3E9B">
          <w:rPr>
            <w:rStyle w:val="Hyperlink"/>
          </w:rPr>
          <w:t>https://database.ich.org/sites/default/files/E6_R2_Addendum.pdf</w:t>
        </w:r>
      </w:hyperlink>
      <w:r w:rsidR="00AE783C" w:rsidRPr="009A3E9B">
        <w:rPr>
          <w:color w:val="000000"/>
        </w:rPr>
        <w:t xml:space="preserve">  </w:t>
      </w:r>
    </w:p>
    <w:p w14:paraId="0831A382" w14:textId="5C54E7C2" w:rsidR="0031772E" w:rsidRDefault="0031772E" w:rsidP="00C66B9D">
      <w:pPr>
        <w:widowControl w:val="0"/>
        <w:autoSpaceDE w:val="0"/>
        <w:autoSpaceDN w:val="0"/>
        <w:adjustRightInd w:val="0"/>
        <w:spacing w:after="0" w:line="239" w:lineRule="auto"/>
        <w:ind w:left="360" w:right="720"/>
      </w:pPr>
    </w:p>
    <w:p w14:paraId="404BD452" w14:textId="6E0CDB52" w:rsidR="0031772E" w:rsidRDefault="0031772E" w:rsidP="00C66B9D">
      <w:pPr>
        <w:widowControl w:val="0"/>
        <w:autoSpaceDE w:val="0"/>
        <w:autoSpaceDN w:val="0"/>
        <w:adjustRightInd w:val="0"/>
        <w:spacing w:after="0" w:line="239" w:lineRule="auto"/>
        <w:ind w:left="360" w:right="720"/>
      </w:pPr>
      <w:r>
        <w:t>MIAP services:</w:t>
      </w:r>
    </w:p>
    <w:p w14:paraId="7E46D9E3" w14:textId="5BB034A1" w:rsidR="0031772E" w:rsidRDefault="00E319A6" w:rsidP="00C66B9D">
      <w:pPr>
        <w:widowControl w:val="0"/>
        <w:autoSpaceDE w:val="0"/>
        <w:autoSpaceDN w:val="0"/>
        <w:adjustRightInd w:val="0"/>
        <w:spacing w:after="0" w:line="239" w:lineRule="auto"/>
        <w:ind w:left="360" w:right="720"/>
      </w:pPr>
      <w:hyperlink r:id="rId24" w:history="1">
        <w:r w:rsidR="0031772E" w:rsidRPr="00BD01AA">
          <w:rPr>
            <w:rStyle w:val="Hyperlink"/>
          </w:rPr>
          <w:t>https://az.research.umich.edu/medschool/policies/university-michigan-medical-school-policy-requirement-use-michr-miap-services</w:t>
        </w:r>
      </w:hyperlink>
    </w:p>
    <w:p w14:paraId="0DB53AE6" w14:textId="77777777" w:rsidR="0030562E" w:rsidRDefault="0030562E" w:rsidP="00293977">
      <w:pPr>
        <w:widowControl w:val="0"/>
        <w:autoSpaceDE w:val="0"/>
        <w:autoSpaceDN w:val="0"/>
        <w:adjustRightInd w:val="0"/>
        <w:spacing w:after="0" w:line="239" w:lineRule="auto"/>
        <w:ind w:right="720"/>
        <w:rPr>
          <w:rFonts w:ascii="Calibri" w:eastAsia="Calibri" w:hAnsi="Calibri" w:cs="Calibri"/>
          <w:spacing w:val="-1"/>
        </w:rPr>
      </w:pPr>
    </w:p>
    <w:p w14:paraId="6B8E8CCF" w14:textId="77777777" w:rsidR="005D688B" w:rsidRDefault="0037716A" w:rsidP="00C66B9D">
      <w:pPr>
        <w:spacing w:after="0" w:line="240" w:lineRule="auto"/>
        <w:ind w:left="360" w:right="-20"/>
        <w:rPr>
          <w:rFonts w:ascii="Calibri" w:eastAsia="Calibri" w:hAnsi="Calibri" w:cs="Calibri"/>
          <w:spacing w:val="-1"/>
        </w:rPr>
      </w:pPr>
      <w:r w:rsidRPr="0037716A">
        <w:rPr>
          <w:rFonts w:ascii="Calibri" w:eastAsia="Calibri" w:hAnsi="Calibri" w:cs="Calibri"/>
          <w:spacing w:val="-1"/>
        </w:rPr>
        <w:t xml:space="preserve">US Department of Health and Human Services Office for Human Research Protections - Guidance on Reviewing and </w:t>
      </w:r>
      <w:r w:rsidR="00871FE0">
        <w:rPr>
          <w:rFonts w:ascii="Calibri" w:eastAsia="Calibri" w:hAnsi="Calibri" w:cs="Calibri"/>
          <w:spacing w:val="-1"/>
        </w:rPr>
        <w:t>R</w:t>
      </w:r>
      <w:r w:rsidRPr="0037716A">
        <w:rPr>
          <w:rFonts w:ascii="Calibri" w:eastAsia="Calibri" w:hAnsi="Calibri" w:cs="Calibri"/>
          <w:spacing w:val="-1"/>
        </w:rPr>
        <w:t>eporting Unanticipated Problems Involving Risks to Subjects or Others and Adverse Events:</w:t>
      </w:r>
    </w:p>
    <w:p w14:paraId="6E1C70F8" w14:textId="7FB7A658" w:rsidR="003F627B" w:rsidRDefault="00E319A6" w:rsidP="00C66B9D">
      <w:pPr>
        <w:spacing w:after="0" w:line="240" w:lineRule="auto"/>
        <w:ind w:left="360" w:right="-20"/>
        <w:rPr>
          <w:rFonts w:ascii="Calibri" w:eastAsia="Calibri" w:hAnsi="Calibri" w:cs="Calibri"/>
          <w:spacing w:val="-1"/>
        </w:rPr>
      </w:pPr>
      <w:hyperlink r:id="rId25" w:history="1">
        <w:r w:rsidR="003F627B" w:rsidRPr="003F627B">
          <w:rPr>
            <w:rStyle w:val="Hyperlink"/>
            <w:rFonts w:ascii="Calibri" w:eastAsia="Calibri" w:hAnsi="Calibri" w:cs="Calibri"/>
            <w:spacing w:val="-1"/>
          </w:rPr>
          <w:t>http://www.hhs.gov/ohrp/regulations-and-policy/guidance/reviewing-unanticipated-problems</w:t>
        </w:r>
      </w:hyperlink>
    </w:p>
    <w:p w14:paraId="3FF6188F" w14:textId="77777777" w:rsidR="00C66B9D" w:rsidRDefault="00C66B9D" w:rsidP="005D688B">
      <w:pPr>
        <w:spacing w:after="0" w:line="240" w:lineRule="auto"/>
        <w:ind w:right="-20"/>
        <w:rPr>
          <w:rFonts w:cstheme="minorHAnsi"/>
          <w:bCs/>
        </w:rPr>
      </w:pPr>
    </w:p>
    <w:p w14:paraId="3AC0429D" w14:textId="78D5E338" w:rsidR="000D712A" w:rsidRDefault="002C0854" w:rsidP="00C66B9D">
      <w:pPr>
        <w:spacing w:after="0" w:line="240" w:lineRule="auto"/>
        <w:ind w:left="360" w:right="-20"/>
        <w:rPr>
          <w:rFonts w:cstheme="minorHAnsi"/>
          <w:lang w:val="en"/>
        </w:rPr>
      </w:pPr>
      <w:r w:rsidRPr="005217BE">
        <w:rPr>
          <w:rFonts w:cstheme="minorHAnsi"/>
          <w:bCs/>
        </w:rPr>
        <w:t xml:space="preserve">University of Michigan IRBMED </w:t>
      </w:r>
      <w:r>
        <w:rPr>
          <w:rFonts w:cstheme="minorHAnsi"/>
          <w:bCs/>
          <w:color w:val="0000FF"/>
        </w:rPr>
        <w:t>-</w:t>
      </w:r>
      <w:r w:rsidRPr="002C0854">
        <w:rPr>
          <w:rFonts w:cstheme="minorHAnsi"/>
          <w:bCs/>
          <w:color w:val="0000FF"/>
        </w:rPr>
        <w:t xml:space="preserve"> </w:t>
      </w:r>
      <w:r w:rsidRPr="002C0854">
        <w:rPr>
          <w:rFonts w:cstheme="minorHAnsi"/>
          <w:lang w:val="en"/>
        </w:rPr>
        <w:t>Adverse Events (AEs), Other Reportable Information and Occurrences (ORIOs), and Other Required Reporting</w:t>
      </w:r>
      <w:r w:rsidR="00124FC8">
        <w:rPr>
          <w:rFonts w:cstheme="minorHAnsi"/>
          <w:lang w:val="en"/>
        </w:rPr>
        <w:t>:</w:t>
      </w:r>
    </w:p>
    <w:p w14:paraId="407AD15B" w14:textId="04AE5221" w:rsidR="00120192" w:rsidRDefault="00E319A6" w:rsidP="00C66B9D">
      <w:pPr>
        <w:spacing w:after="0" w:line="240" w:lineRule="auto"/>
        <w:ind w:left="360" w:right="-20"/>
        <w:rPr>
          <w:rFonts w:cstheme="minorHAnsi"/>
          <w:lang w:val="en"/>
        </w:rPr>
      </w:pPr>
      <w:hyperlink r:id="rId26" w:history="1">
        <w:r w:rsidR="00120192" w:rsidRPr="00043DBD">
          <w:rPr>
            <w:rStyle w:val="Hyperlink"/>
            <w:rFonts w:cstheme="minorHAnsi"/>
            <w:lang w:val="en"/>
          </w:rPr>
          <w:t>https://research.medicine.umich.edu/office-research/institutional-review-boards-irbmed/guidance/adverse-events-aes-other-reportable-information-and-occurrences-orios-and-other-required-reporting/other-reportable-information-or-occurrence-orio</w:t>
        </w:r>
      </w:hyperlink>
      <w:r w:rsidR="00120192">
        <w:rPr>
          <w:rFonts w:cstheme="minorHAnsi"/>
          <w:lang w:val="en"/>
        </w:rPr>
        <w:t xml:space="preserve"> </w:t>
      </w:r>
    </w:p>
    <w:p w14:paraId="4C084924" w14:textId="77777777" w:rsidR="00CF07E5" w:rsidRDefault="00CF07E5" w:rsidP="00C66B9D">
      <w:pPr>
        <w:spacing w:after="0" w:line="240" w:lineRule="auto"/>
        <w:ind w:left="360" w:right="-20"/>
        <w:rPr>
          <w:rFonts w:cstheme="minorHAnsi"/>
          <w:color w:val="000000"/>
        </w:rPr>
      </w:pPr>
    </w:p>
    <w:p w14:paraId="0BC0D403" w14:textId="070C8586" w:rsidR="00CF07E5" w:rsidRDefault="00CF07E5" w:rsidP="00CF07E5">
      <w:pPr>
        <w:spacing w:after="0" w:line="240" w:lineRule="auto"/>
        <w:ind w:left="360" w:right="-20"/>
        <w:rPr>
          <w:rFonts w:cstheme="minorHAnsi"/>
          <w:lang w:val="en"/>
        </w:rPr>
      </w:pPr>
      <w:r w:rsidRPr="005217BE">
        <w:rPr>
          <w:rFonts w:cstheme="minorHAnsi"/>
          <w:bCs/>
        </w:rPr>
        <w:t xml:space="preserve">University of Michigan IRBMED </w:t>
      </w:r>
      <w:r>
        <w:rPr>
          <w:rFonts w:cstheme="minorHAnsi"/>
          <w:bCs/>
          <w:color w:val="0000FF"/>
        </w:rPr>
        <w:t>-</w:t>
      </w:r>
      <w:r w:rsidRPr="002C0854">
        <w:rPr>
          <w:rFonts w:cstheme="minorHAnsi"/>
          <w:bCs/>
          <w:color w:val="0000FF"/>
        </w:rPr>
        <w:t xml:space="preserve"> </w:t>
      </w:r>
      <w:r w:rsidRPr="002C0854">
        <w:rPr>
          <w:rFonts w:cstheme="minorHAnsi"/>
          <w:lang w:val="en"/>
        </w:rPr>
        <w:t>Adverse Events (AEs), Other Reportable Information and Occurrences (ORIOs), and Other Required Reporting</w:t>
      </w:r>
      <w:r>
        <w:rPr>
          <w:rFonts w:cstheme="minorHAnsi"/>
          <w:lang w:val="en"/>
        </w:rPr>
        <w:t>, External Adverse Event (AE) Reporting</w:t>
      </w:r>
      <w:r w:rsidR="009A3E9B">
        <w:rPr>
          <w:rFonts w:cstheme="minorHAnsi"/>
          <w:lang w:val="en"/>
        </w:rPr>
        <w:t>- External Events:</w:t>
      </w:r>
    </w:p>
    <w:p w14:paraId="398AAE3B" w14:textId="31D8057A" w:rsidR="00471719" w:rsidRDefault="00E319A6" w:rsidP="00CF07E5">
      <w:pPr>
        <w:spacing w:after="0" w:line="240" w:lineRule="auto"/>
        <w:ind w:left="360" w:right="-20"/>
        <w:rPr>
          <w:rFonts w:cstheme="minorHAnsi"/>
          <w:lang w:val="en"/>
        </w:rPr>
      </w:pPr>
      <w:hyperlink r:id="rId27" w:history="1">
        <w:r w:rsidR="00471719" w:rsidRPr="00043DBD">
          <w:rPr>
            <w:rStyle w:val="Hyperlink"/>
            <w:rFonts w:cstheme="minorHAnsi"/>
            <w:lang w:val="en"/>
          </w:rPr>
          <w:t>https://research.medicine.umich.edu/office-research/institutional-review-boards-irbmed/guidance/adverse-events-aes-other-reportable-information-and-occurrences-orios-and-other-required-reporting/adverse-event-reporting/external-adverse-event-ae-reporting</w:t>
        </w:r>
      </w:hyperlink>
      <w:r w:rsidR="00471719">
        <w:rPr>
          <w:rFonts w:cstheme="minorHAnsi"/>
          <w:lang w:val="en"/>
        </w:rPr>
        <w:t xml:space="preserve"> </w:t>
      </w:r>
    </w:p>
    <w:p w14:paraId="7ECD2843" w14:textId="2E0F1A23" w:rsidR="00A5045C" w:rsidRDefault="00A5045C" w:rsidP="00C66B9D">
      <w:pPr>
        <w:spacing w:after="0" w:line="240" w:lineRule="auto"/>
        <w:ind w:left="360" w:right="-20"/>
        <w:rPr>
          <w:rFonts w:cstheme="minorHAnsi"/>
          <w:color w:val="000000"/>
        </w:rPr>
      </w:pPr>
    </w:p>
    <w:p w14:paraId="6FD08D76" w14:textId="62DA1F58" w:rsidR="00FB527F" w:rsidRDefault="003D457A" w:rsidP="00C66B9D">
      <w:pPr>
        <w:spacing w:after="0" w:line="240" w:lineRule="auto"/>
        <w:ind w:left="360" w:right="-20"/>
        <w:rPr>
          <w:rFonts w:cstheme="minorHAnsi"/>
          <w:lang w:val="en"/>
        </w:rPr>
      </w:pPr>
      <w:r w:rsidRPr="005217BE">
        <w:rPr>
          <w:rFonts w:cstheme="minorHAnsi"/>
          <w:bCs/>
        </w:rPr>
        <w:t xml:space="preserve">University of Michigan IRBMED </w:t>
      </w:r>
      <w:r w:rsidR="00E76833">
        <w:rPr>
          <w:rFonts w:cstheme="minorHAnsi"/>
          <w:bCs/>
        </w:rPr>
        <w:t xml:space="preserve">- </w:t>
      </w:r>
      <w:r w:rsidRPr="003D457A">
        <w:rPr>
          <w:rFonts w:cstheme="minorHAnsi"/>
          <w:lang w:val="en"/>
        </w:rPr>
        <w:t>Study</w:t>
      </w:r>
      <w:r>
        <w:rPr>
          <w:rFonts w:cstheme="minorHAnsi"/>
          <w:lang w:val="en"/>
        </w:rPr>
        <w:t xml:space="preserve"> - </w:t>
      </w:r>
      <w:r w:rsidRPr="003D457A">
        <w:rPr>
          <w:rFonts w:cstheme="minorHAnsi"/>
          <w:lang w:val="en"/>
        </w:rPr>
        <w:t>Specific Adverse Event (AE) Reporting Plans</w:t>
      </w:r>
      <w:r w:rsidR="00124FC8">
        <w:rPr>
          <w:rFonts w:cstheme="minorHAnsi"/>
          <w:lang w:val="en"/>
        </w:rPr>
        <w:t>:</w:t>
      </w:r>
    </w:p>
    <w:p w14:paraId="64F17185" w14:textId="3A97249F" w:rsidR="00471719" w:rsidRDefault="00E319A6" w:rsidP="00C66B9D">
      <w:pPr>
        <w:spacing w:after="0" w:line="240" w:lineRule="auto"/>
        <w:ind w:left="360" w:right="-20"/>
        <w:rPr>
          <w:rFonts w:cstheme="minorHAnsi"/>
          <w:lang w:val="en"/>
        </w:rPr>
      </w:pPr>
      <w:hyperlink r:id="rId28" w:history="1">
        <w:r w:rsidR="00D67A95">
          <w:rPr>
            <w:rStyle w:val="Hyperlink"/>
          </w:rPr>
          <w:t>https://az.research.umich.edu/medschool/guidance/study-specific-ae-reporting</w:t>
        </w:r>
      </w:hyperlink>
    </w:p>
    <w:p w14:paraId="1D0CA7EB" w14:textId="52D8C8A2" w:rsidR="00E54A87" w:rsidRPr="001C50F2" w:rsidRDefault="00E54A87" w:rsidP="00E54A87">
      <w:pPr>
        <w:spacing w:after="0" w:line="240" w:lineRule="auto"/>
        <w:ind w:left="360" w:right="936"/>
        <w:rPr>
          <w:rFonts w:ascii="Calibri" w:eastAsia="Calibri" w:hAnsi="Calibri" w:cs="Calibri"/>
        </w:rPr>
      </w:pPr>
      <w:r w:rsidRPr="001C50F2">
        <w:rPr>
          <w:rFonts w:cs="Arial"/>
        </w:rPr>
        <w:t>(</w:t>
      </w:r>
      <w:r w:rsidRPr="001C50F2">
        <w:rPr>
          <w:rFonts w:cs="Arial"/>
          <w:b/>
        </w:rPr>
        <w:t>MANDATORY LANGUAGE</w:t>
      </w:r>
      <w:r w:rsidRPr="001C50F2">
        <w:rPr>
          <w:rFonts w:cs="Arial"/>
        </w:rPr>
        <w:t>)</w:t>
      </w:r>
    </w:p>
    <w:p w14:paraId="7F14FDF5" w14:textId="77777777" w:rsidR="00331682" w:rsidRPr="008D5E59" w:rsidRDefault="00331682" w:rsidP="00331682">
      <w:pPr>
        <w:widowControl w:val="0"/>
        <w:autoSpaceDE w:val="0"/>
        <w:autoSpaceDN w:val="0"/>
        <w:adjustRightInd w:val="0"/>
        <w:spacing w:after="0" w:line="240" w:lineRule="auto"/>
        <w:ind w:left="360" w:right="720"/>
        <w:rPr>
          <w:rFonts w:cs="Calibri"/>
          <w:color w:val="00B0F0"/>
        </w:rPr>
      </w:pPr>
    </w:p>
    <w:p w14:paraId="2134BBCA" w14:textId="6BE9CB52" w:rsidR="00331682" w:rsidRDefault="00331682" w:rsidP="00331682">
      <w:pPr>
        <w:widowControl w:val="0"/>
        <w:autoSpaceDE w:val="0"/>
        <w:autoSpaceDN w:val="0"/>
        <w:adjustRightInd w:val="0"/>
        <w:spacing w:after="0" w:line="240" w:lineRule="auto"/>
        <w:ind w:left="360" w:right="720"/>
        <w:rPr>
          <w:rFonts w:cs="Calibri"/>
          <w:i/>
          <w:color w:val="00B0F0"/>
        </w:rPr>
      </w:pPr>
      <w:r w:rsidRPr="0024775D">
        <w:rPr>
          <w:rFonts w:cs="Calibri"/>
          <w:i/>
          <w:color w:val="00B0F0"/>
        </w:rPr>
        <w:t xml:space="preserve">[Optional: Insert </w:t>
      </w:r>
      <w:r>
        <w:rPr>
          <w:rFonts w:cs="Calibri"/>
          <w:i/>
          <w:color w:val="00B0F0"/>
        </w:rPr>
        <w:t xml:space="preserve">any </w:t>
      </w:r>
      <w:r w:rsidRPr="0024775D">
        <w:rPr>
          <w:rFonts w:cs="Calibri"/>
          <w:i/>
          <w:color w:val="00B0F0"/>
        </w:rPr>
        <w:t xml:space="preserve">additional </w:t>
      </w:r>
      <w:r w:rsidR="00C46C18">
        <w:rPr>
          <w:rFonts w:cs="Calibri"/>
          <w:i/>
          <w:color w:val="00B0F0"/>
        </w:rPr>
        <w:t>SPG</w:t>
      </w:r>
      <w:r>
        <w:rPr>
          <w:rFonts w:cs="Calibri"/>
          <w:i/>
          <w:color w:val="00B0F0"/>
        </w:rPr>
        <w:t xml:space="preserve"> </w:t>
      </w:r>
      <w:r w:rsidRPr="0024775D">
        <w:rPr>
          <w:rFonts w:cs="Calibri"/>
          <w:i/>
          <w:color w:val="00B0F0"/>
        </w:rPr>
        <w:t>references]</w:t>
      </w:r>
    </w:p>
    <w:p w14:paraId="6D1B7F00" w14:textId="117BDA54" w:rsidR="0086304B" w:rsidRPr="003308A3" w:rsidRDefault="003308A3" w:rsidP="003308A3">
      <w:pPr>
        <w:pStyle w:val="ListParagraph"/>
        <w:numPr>
          <w:ilvl w:val="0"/>
          <w:numId w:val="10"/>
        </w:numPr>
        <w:spacing w:after="0" w:line="240" w:lineRule="auto"/>
        <w:ind w:right="-20"/>
        <w:rPr>
          <w:rFonts w:ascii="Calibri" w:eastAsia="Calibri" w:hAnsi="Calibri" w:cs="Calibri"/>
          <w:b/>
          <w:bCs/>
        </w:rPr>
      </w:pPr>
      <w:r w:rsidRPr="003308A3">
        <w:rPr>
          <w:rFonts w:ascii="Calibri" w:eastAsia="Calibri" w:hAnsi="Calibri" w:cs="Calibri"/>
          <w:b/>
          <w:bCs/>
        </w:rPr>
        <w:t>A</w:t>
      </w:r>
      <w:r w:rsidR="0086304B" w:rsidRPr="003308A3">
        <w:rPr>
          <w:rFonts w:ascii="Calibri" w:eastAsia="Calibri" w:hAnsi="Calibri" w:cs="Calibri"/>
          <w:b/>
          <w:bCs/>
        </w:rPr>
        <w:t>PP</w:t>
      </w:r>
      <w:r w:rsidR="0086304B" w:rsidRPr="003308A3">
        <w:rPr>
          <w:rFonts w:ascii="Calibri" w:eastAsia="Calibri" w:hAnsi="Calibri" w:cs="Calibri"/>
          <w:b/>
          <w:bCs/>
          <w:spacing w:val="-2"/>
        </w:rPr>
        <w:t>E</w:t>
      </w:r>
      <w:r w:rsidR="0086304B" w:rsidRPr="003308A3">
        <w:rPr>
          <w:rFonts w:ascii="Calibri" w:eastAsia="Calibri" w:hAnsi="Calibri" w:cs="Calibri"/>
          <w:b/>
          <w:bCs/>
          <w:spacing w:val="1"/>
        </w:rPr>
        <w:t>N</w:t>
      </w:r>
      <w:r w:rsidR="0086304B" w:rsidRPr="003308A3">
        <w:rPr>
          <w:rFonts w:ascii="Calibri" w:eastAsia="Calibri" w:hAnsi="Calibri" w:cs="Calibri"/>
          <w:b/>
          <w:bCs/>
          <w:spacing w:val="-2"/>
        </w:rPr>
        <w:t>D</w:t>
      </w:r>
      <w:r w:rsidR="0086304B" w:rsidRPr="003308A3">
        <w:rPr>
          <w:rFonts w:ascii="Calibri" w:eastAsia="Calibri" w:hAnsi="Calibri" w:cs="Calibri"/>
          <w:b/>
          <w:bCs/>
          <w:spacing w:val="1"/>
        </w:rPr>
        <w:t>IC</w:t>
      </w:r>
      <w:r w:rsidR="0086304B" w:rsidRPr="003308A3">
        <w:rPr>
          <w:rFonts w:ascii="Calibri" w:eastAsia="Calibri" w:hAnsi="Calibri" w:cs="Calibri"/>
          <w:b/>
          <w:bCs/>
        </w:rPr>
        <w:t>ES</w:t>
      </w:r>
    </w:p>
    <w:p w14:paraId="5C23229C" w14:textId="77777777" w:rsidR="00E54A87" w:rsidRPr="001C50F2" w:rsidRDefault="00E54A87" w:rsidP="00E54A87">
      <w:pPr>
        <w:spacing w:after="0" w:line="240" w:lineRule="auto"/>
        <w:ind w:left="360" w:right="936"/>
        <w:rPr>
          <w:rFonts w:ascii="Calibri" w:eastAsia="Calibri" w:hAnsi="Calibri" w:cs="Calibri"/>
        </w:rPr>
      </w:pPr>
      <w:r w:rsidRPr="001C50F2">
        <w:rPr>
          <w:rFonts w:cs="Arial"/>
        </w:rPr>
        <w:t>(</w:t>
      </w:r>
      <w:r w:rsidRPr="001C50F2">
        <w:rPr>
          <w:rFonts w:cs="Arial"/>
          <w:b/>
        </w:rPr>
        <w:t>MANDATORY LANGUAGE</w:t>
      </w:r>
      <w:r w:rsidRPr="001C50F2">
        <w:rPr>
          <w:rFonts w:cs="Arial"/>
        </w:rPr>
        <w:t>)</w:t>
      </w:r>
    </w:p>
    <w:p w14:paraId="2CBAD277" w14:textId="5F1BCDDB" w:rsidR="00885D3E" w:rsidRDefault="003308A3" w:rsidP="003308A3">
      <w:pPr>
        <w:tabs>
          <w:tab w:val="left" w:pos="3210"/>
        </w:tabs>
        <w:spacing w:after="0" w:line="240" w:lineRule="auto"/>
        <w:ind w:right="-20"/>
        <w:rPr>
          <w:rFonts w:ascii="Calibri" w:eastAsia="Calibri" w:hAnsi="Calibri" w:cs="Calibri"/>
          <w:bCs/>
        </w:rPr>
      </w:pPr>
      <w:r>
        <w:rPr>
          <w:rFonts w:ascii="Calibri" w:eastAsia="Calibri" w:hAnsi="Calibri" w:cs="Calibri"/>
          <w:bCs/>
        </w:rPr>
        <w:tab/>
      </w:r>
    </w:p>
    <w:p w14:paraId="25D1392D" w14:textId="032A09F8" w:rsidR="003308A3" w:rsidRPr="008D5E59" w:rsidRDefault="003308A3" w:rsidP="00C832B5">
      <w:pPr>
        <w:widowControl w:val="0"/>
        <w:autoSpaceDE w:val="0"/>
        <w:autoSpaceDN w:val="0"/>
        <w:adjustRightInd w:val="0"/>
        <w:spacing w:after="0" w:line="240" w:lineRule="auto"/>
        <w:ind w:left="360" w:right="720"/>
        <w:rPr>
          <w:rFonts w:ascii="Calibri" w:eastAsia="Calibri" w:hAnsi="Calibri" w:cs="Calibri"/>
          <w:bCs/>
        </w:rPr>
      </w:pPr>
      <w:r w:rsidRPr="0024775D">
        <w:rPr>
          <w:rFonts w:cs="Calibri"/>
          <w:i/>
          <w:color w:val="00B0F0"/>
        </w:rPr>
        <w:t xml:space="preserve">[Optional: Insert </w:t>
      </w:r>
      <w:r>
        <w:rPr>
          <w:rFonts w:cs="Calibri"/>
          <w:i/>
          <w:color w:val="00B0F0"/>
        </w:rPr>
        <w:t xml:space="preserve">any </w:t>
      </w:r>
      <w:r w:rsidRPr="0024775D">
        <w:rPr>
          <w:rFonts w:cs="Calibri"/>
          <w:i/>
          <w:color w:val="00B0F0"/>
        </w:rPr>
        <w:t xml:space="preserve">additional </w:t>
      </w:r>
      <w:r w:rsidR="00C46C18">
        <w:rPr>
          <w:rFonts w:cs="Calibri"/>
          <w:i/>
          <w:color w:val="00B0F0"/>
        </w:rPr>
        <w:t>SPG</w:t>
      </w:r>
      <w:r>
        <w:rPr>
          <w:rFonts w:cs="Calibri"/>
          <w:i/>
          <w:color w:val="00B0F0"/>
        </w:rPr>
        <w:t xml:space="preserve"> appendice</w:t>
      </w:r>
      <w:r w:rsidRPr="0024775D">
        <w:rPr>
          <w:rFonts w:cs="Calibri"/>
          <w:i/>
          <w:color w:val="00B0F0"/>
        </w:rPr>
        <w:t>s]</w:t>
      </w:r>
    </w:p>
    <w:p w14:paraId="6D1B7F02" w14:textId="64392408" w:rsidR="0086304B" w:rsidRPr="00DD46A7" w:rsidRDefault="0086304B" w:rsidP="00D00471">
      <w:pPr>
        <w:spacing w:after="0" w:line="240" w:lineRule="auto"/>
        <w:ind w:left="360" w:right="-20"/>
        <w:rPr>
          <w:rFonts w:ascii="Calibri" w:eastAsia="Calibri" w:hAnsi="Calibri" w:cs="Calibri"/>
          <w:b/>
          <w:bCs/>
        </w:rPr>
      </w:pPr>
    </w:p>
    <w:sectPr w:rsidR="0086304B" w:rsidRPr="00DD46A7" w:rsidSect="00371943">
      <w:headerReference w:type="default" r:id="rId29"/>
      <w:footerReference w:type="default" r:id="rId30"/>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2D908" w14:textId="77777777" w:rsidR="002612FC" w:rsidRDefault="002612FC" w:rsidP="00D10980">
      <w:pPr>
        <w:spacing w:after="0" w:line="240" w:lineRule="auto"/>
      </w:pPr>
      <w:r>
        <w:separator/>
      </w:r>
    </w:p>
  </w:endnote>
  <w:endnote w:type="continuationSeparator" w:id="0">
    <w:p w14:paraId="32DEF411" w14:textId="77777777" w:rsidR="002612FC" w:rsidRDefault="002612FC" w:rsidP="00D10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112162"/>
      <w:docPartObj>
        <w:docPartGallery w:val="Page Numbers (Bottom of Page)"/>
        <w:docPartUnique/>
      </w:docPartObj>
    </w:sdtPr>
    <w:sdtEndPr/>
    <w:sdtContent>
      <w:sdt>
        <w:sdtPr>
          <w:id w:val="860082579"/>
          <w:docPartObj>
            <w:docPartGallery w:val="Page Numbers (Top of Page)"/>
            <w:docPartUnique/>
          </w:docPartObj>
        </w:sdtPr>
        <w:sdtEndPr/>
        <w:sdtContent>
          <w:p w14:paraId="75A9B84B" w14:textId="77777777" w:rsidR="00E67334" w:rsidRDefault="00E67334">
            <w:pPr>
              <w:pStyle w:val="Footer"/>
              <w:jc w:val="right"/>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45"/>
              <w:gridCol w:w="355"/>
              <w:gridCol w:w="3943"/>
              <w:gridCol w:w="355"/>
              <w:gridCol w:w="1962"/>
            </w:tblGrid>
            <w:tr w:rsidR="00E67334" w14:paraId="0300DA2C" w14:textId="77777777" w:rsidTr="00820609">
              <w:tc>
                <w:tcPr>
                  <w:tcW w:w="2808" w:type="dxa"/>
                  <w:tcBorders>
                    <w:top w:val="nil"/>
                    <w:left w:val="nil"/>
                    <w:bottom w:val="single" w:sz="8" w:space="0" w:color="auto"/>
                    <w:right w:val="nil"/>
                  </w:tcBorders>
                </w:tcPr>
                <w:p w14:paraId="0F74AFB2" w14:textId="77777777" w:rsidR="00E67334" w:rsidRDefault="00E67334" w:rsidP="00820609">
                  <w:pPr>
                    <w:pStyle w:val="Footer"/>
                    <w:rPr>
                      <w:b/>
                    </w:rPr>
                  </w:pPr>
                </w:p>
                <w:p w14:paraId="0A850787" w14:textId="77777777" w:rsidR="00E67334" w:rsidRPr="00BE1E09" w:rsidRDefault="00E67334" w:rsidP="00820609">
                  <w:pPr>
                    <w:pStyle w:val="Footer"/>
                    <w:rPr>
                      <w:b/>
                    </w:rPr>
                  </w:pPr>
                </w:p>
              </w:tc>
              <w:tc>
                <w:tcPr>
                  <w:tcW w:w="360" w:type="dxa"/>
                  <w:tcBorders>
                    <w:top w:val="nil"/>
                    <w:left w:val="nil"/>
                    <w:bottom w:val="nil"/>
                    <w:right w:val="nil"/>
                  </w:tcBorders>
                </w:tcPr>
                <w:p w14:paraId="2C7E7194" w14:textId="77777777" w:rsidR="00E67334" w:rsidRDefault="00E67334" w:rsidP="00820609">
                  <w:pPr>
                    <w:pStyle w:val="Footer"/>
                  </w:pPr>
                </w:p>
              </w:tc>
              <w:tc>
                <w:tcPr>
                  <w:tcW w:w="4050" w:type="dxa"/>
                  <w:tcBorders>
                    <w:top w:val="nil"/>
                    <w:left w:val="nil"/>
                    <w:bottom w:val="single" w:sz="8" w:space="0" w:color="auto"/>
                    <w:right w:val="nil"/>
                  </w:tcBorders>
                </w:tcPr>
                <w:p w14:paraId="09D802B3" w14:textId="77777777" w:rsidR="00E67334" w:rsidRDefault="00E67334" w:rsidP="00820609">
                  <w:pPr>
                    <w:pStyle w:val="Footer"/>
                  </w:pPr>
                </w:p>
              </w:tc>
              <w:tc>
                <w:tcPr>
                  <w:tcW w:w="360" w:type="dxa"/>
                  <w:tcBorders>
                    <w:top w:val="nil"/>
                    <w:left w:val="nil"/>
                    <w:bottom w:val="nil"/>
                    <w:right w:val="nil"/>
                  </w:tcBorders>
                </w:tcPr>
                <w:p w14:paraId="3EEC4EE4" w14:textId="77777777" w:rsidR="00E67334" w:rsidRDefault="00E67334" w:rsidP="00820609">
                  <w:pPr>
                    <w:pStyle w:val="Footer"/>
                  </w:pPr>
                </w:p>
              </w:tc>
              <w:tc>
                <w:tcPr>
                  <w:tcW w:w="1998" w:type="dxa"/>
                  <w:tcBorders>
                    <w:top w:val="nil"/>
                    <w:left w:val="nil"/>
                    <w:bottom w:val="single" w:sz="8" w:space="0" w:color="auto"/>
                    <w:right w:val="nil"/>
                  </w:tcBorders>
                </w:tcPr>
                <w:p w14:paraId="0A9B4DB5" w14:textId="77777777" w:rsidR="00E67334" w:rsidRDefault="00E67334" w:rsidP="00820609">
                  <w:pPr>
                    <w:pStyle w:val="Footer"/>
                  </w:pPr>
                </w:p>
              </w:tc>
            </w:tr>
            <w:tr w:rsidR="00E67334" w14:paraId="6B8BD5B9" w14:textId="77777777" w:rsidTr="00820609">
              <w:tc>
                <w:tcPr>
                  <w:tcW w:w="2808" w:type="dxa"/>
                  <w:tcBorders>
                    <w:left w:val="nil"/>
                    <w:bottom w:val="nil"/>
                    <w:right w:val="nil"/>
                  </w:tcBorders>
                  <w:vAlign w:val="bottom"/>
                </w:tcPr>
                <w:p w14:paraId="52BE6D0D" w14:textId="77777777" w:rsidR="00E67334" w:rsidRPr="00BE1E09" w:rsidRDefault="00E67334" w:rsidP="00820609">
                  <w:pPr>
                    <w:pStyle w:val="Footer"/>
                    <w:rPr>
                      <w:b/>
                    </w:rPr>
                  </w:pPr>
                  <w:r>
                    <w:rPr>
                      <w:b/>
                    </w:rPr>
                    <w:t xml:space="preserve">Approver Name    </w:t>
                  </w:r>
                  <w:r w:rsidRPr="00B06E22">
                    <w:rPr>
                      <w:sz w:val="16"/>
                      <w:szCs w:val="16"/>
                    </w:rPr>
                    <w:t>(please print)</w:t>
                  </w:r>
                </w:p>
              </w:tc>
              <w:tc>
                <w:tcPr>
                  <w:tcW w:w="360" w:type="dxa"/>
                  <w:tcBorders>
                    <w:top w:val="nil"/>
                    <w:left w:val="nil"/>
                    <w:bottom w:val="nil"/>
                    <w:right w:val="nil"/>
                  </w:tcBorders>
                </w:tcPr>
                <w:p w14:paraId="6E6A65DC" w14:textId="77777777" w:rsidR="00E67334" w:rsidRDefault="00E67334" w:rsidP="00820609">
                  <w:pPr>
                    <w:pStyle w:val="Footer"/>
                    <w:rPr>
                      <w:b/>
                    </w:rPr>
                  </w:pPr>
                </w:p>
              </w:tc>
              <w:tc>
                <w:tcPr>
                  <w:tcW w:w="4050" w:type="dxa"/>
                  <w:tcBorders>
                    <w:left w:val="nil"/>
                    <w:bottom w:val="nil"/>
                    <w:right w:val="nil"/>
                  </w:tcBorders>
                  <w:vAlign w:val="bottom"/>
                </w:tcPr>
                <w:p w14:paraId="02D2AD79" w14:textId="5364CC8A" w:rsidR="00E67334" w:rsidRPr="00317315" w:rsidRDefault="00E67334" w:rsidP="00820609">
                  <w:pPr>
                    <w:pStyle w:val="Footer"/>
                    <w:rPr>
                      <w:sz w:val="18"/>
                      <w:szCs w:val="18"/>
                    </w:rPr>
                  </w:pPr>
                  <w:r>
                    <w:rPr>
                      <w:b/>
                    </w:rPr>
                    <w:t xml:space="preserve">Approver </w:t>
                  </w:r>
                  <w:r w:rsidRPr="00CE7BB4">
                    <w:rPr>
                      <w:b/>
                    </w:rPr>
                    <w:t>Signature</w:t>
                  </w:r>
                  <w:r>
                    <w:rPr>
                      <w:b/>
                    </w:rPr>
                    <w:t xml:space="preserve">         </w:t>
                  </w:r>
                  <w:r w:rsidRPr="00CE7BB4">
                    <w:rPr>
                      <w:sz w:val="16"/>
                      <w:szCs w:val="16"/>
                    </w:rPr>
                    <w:t>(</w:t>
                  </w:r>
                  <w:r w:rsidRPr="00317315">
                    <w:rPr>
                      <w:sz w:val="16"/>
                      <w:szCs w:val="16"/>
                    </w:rPr>
                    <w:t xml:space="preserve">Required </w:t>
                  </w:r>
                  <w:r>
                    <w:rPr>
                      <w:sz w:val="16"/>
                      <w:szCs w:val="16"/>
                    </w:rPr>
                    <w:t>p</w:t>
                  </w:r>
                  <w:r w:rsidRPr="00317315">
                    <w:rPr>
                      <w:sz w:val="16"/>
                      <w:szCs w:val="16"/>
                    </w:rPr>
                    <w:t>age 1 only)</w:t>
                  </w:r>
                </w:p>
              </w:tc>
              <w:tc>
                <w:tcPr>
                  <w:tcW w:w="360" w:type="dxa"/>
                  <w:tcBorders>
                    <w:top w:val="nil"/>
                    <w:left w:val="nil"/>
                    <w:bottom w:val="nil"/>
                    <w:right w:val="nil"/>
                  </w:tcBorders>
                </w:tcPr>
                <w:p w14:paraId="6755BADE" w14:textId="77777777" w:rsidR="00E67334" w:rsidRDefault="00E67334" w:rsidP="00820609">
                  <w:pPr>
                    <w:pStyle w:val="Footer"/>
                    <w:rPr>
                      <w:sz w:val="18"/>
                      <w:szCs w:val="18"/>
                    </w:rPr>
                  </w:pPr>
                </w:p>
              </w:tc>
              <w:tc>
                <w:tcPr>
                  <w:tcW w:w="1998" w:type="dxa"/>
                  <w:tcBorders>
                    <w:left w:val="nil"/>
                    <w:bottom w:val="nil"/>
                    <w:right w:val="nil"/>
                  </w:tcBorders>
                  <w:vAlign w:val="bottom"/>
                </w:tcPr>
                <w:p w14:paraId="5EEED487" w14:textId="77777777" w:rsidR="00E67334" w:rsidRDefault="00E67334" w:rsidP="00820609">
                  <w:pPr>
                    <w:pStyle w:val="Footer"/>
                    <w:rPr>
                      <w:sz w:val="18"/>
                      <w:szCs w:val="18"/>
                    </w:rPr>
                  </w:pPr>
                </w:p>
                <w:p w14:paraId="0B5C35E2" w14:textId="77777777" w:rsidR="00E67334" w:rsidRPr="00CE7BB4" w:rsidRDefault="00E67334" w:rsidP="00820609">
                  <w:pPr>
                    <w:pStyle w:val="Footer"/>
                    <w:rPr>
                      <w:b/>
                    </w:rPr>
                  </w:pPr>
                  <w:r w:rsidRPr="00CE7BB4">
                    <w:rPr>
                      <w:b/>
                    </w:rPr>
                    <w:t>Effective Date</w:t>
                  </w:r>
                </w:p>
              </w:tc>
            </w:tr>
          </w:tbl>
          <w:p w14:paraId="6E930401" w14:textId="77777777" w:rsidR="00E67334" w:rsidRDefault="00E67334" w:rsidP="00A01FA1">
            <w:pPr>
              <w:pStyle w:val="Footer"/>
              <w:jc w:val="right"/>
            </w:pPr>
          </w:p>
          <w:p w14:paraId="190D867D" w14:textId="439BC208" w:rsidR="00E67334" w:rsidRDefault="00E67334" w:rsidP="00A01FA1">
            <w:pPr>
              <w:pStyle w:val="Footer"/>
              <w:jc w:val="right"/>
            </w:pPr>
          </w:p>
          <w:p w14:paraId="36ED2115" w14:textId="77777777" w:rsidR="00E67334" w:rsidRDefault="00E67334" w:rsidP="00A01FA1">
            <w:pPr>
              <w:pStyle w:val="Footer"/>
              <w:jc w:val="right"/>
            </w:pPr>
          </w:p>
          <w:p w14:paraId="641073BD" w14:textId="0E932B01" w:rsidR="00E67334" w:rsidRDefault="00E319A6" w:rsidP="00A01FA1">
            <w:pPr>
              <w:pStyle w:val="Footer"/>
              <w:jc w:val="right"/>
            </w:pPr>
            <w:sdt>
              <w:sdtPr>
                <w:id w:val="371197444"/>
                <w:docPartObj>
                  <w:docPartGallery w:val="Page Numbers (Top of Page)"/>
                  <w:docPartUnique/>
                </w:docPartObj>
              </w:sdtPr>
              <w:sdtEndPr/>
              <w:sdtContent>
                <w:r w:rsidR="00E67334" w:rsidRPr="008527F7">
                  <w:t xml:space="preserve">Page </w:t>
                </w:r>
                <w:r w:rsidR="00E67334" w:rsidRPr="008527F7">
                  <w:rPr>
                    <w:bCs/>
                  </w:rPr>
                  <w:fldChar w:fldCharType="begin"/>
                </w:r>
                <w:r w:rsidR="00E67334" w:rsidRPr="008527F7">
                  <w:rPr>
                    <w:bCs/>
                  </w:rPr>
                  <w:instrText xml:space="preserve"> PAGE </w:instrText>
                </w:r>
                <w:r w:rsidR="00E67334" w:rsidRPr="008527F7">
                  <w:rPr>
                    <w:bCs/>
                  </w:rPr>
                  <w:fldChar w:fldCharType="separate"/>
                </w:r>
                <w:r w:rsidR="00DF0B40">
                  <w:rPr>
                    <w:bCs/>
                    <w:noProof/>
                  </w:rPr>
                  <w:t>1</w:t>
                </w:r>
                <w:r w:rsidR="00E67334" w:rsidRPr="008527F7">
                  <w:rPr>
                    <w:bCs/>
                  </w:rPr>
                  <w:fldChar w:fldCharType="end"/>
                </w:r>
                <w:r w:rsidR="00E67334" w:rsidRPr="008527F7">
                  <w:t xml:space="preserve"> of </w:t>
                </w:r>
                <w:r w:rsidR="00E67334" w:rsidRPr="008527F7">
                  <w:rPr>
                    <w:bCs/>
                  </w:rPr>
                  <w:fldChar w:fldCharType="begin"/>
                </w:r>
                <w:r w:rsidR="00E67334" w:rsidRPr="008527F7">
                  <w:rPr>
                    <w:bCs/>
                  </w:rPr>
                  <w:instrText xml:space="preserve"> NUMPAGES  </w:instrText>
                </w:r>
                <w:r w:rsidR="00E67334" w:rsidRPr="008527F7">
                  <w:rPr>
                    <w:bCs/>
                  </w:rPr>
                  <w:fldChar w:fldCharType="separate"/>
                </w:r>
                <w:r w:rsidR="00DF0B40">
                  <w:rPr>
                    <w:bCs/>
                    <w:noProof/>
                  </w:rPr>
                  <w:t>12</w:t>
                </w:r>
                <w:r w:rsidR="00E67334" w:rsidRPr="008527F7">
                  <w:rPr>
                    <w:bCs/>
                  </w:rPr>
                  <w:fldChar w:fldCharType="end"/>
                </w:r>
              </w:sdtContent>
            </w:sdt>
          </w:p>
        </w:sdtContent>
      </w:sdt>
    </w:sdtContent>
  </w:sdt>
  <w:p w14:paraId="6D1B7F23" w14:textId="67813D10" w:rsidR="00E67334" w:rsidRDefault="00E67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DF7C" w14:textId="77777777" w:rsidR="002612FC" w:rsidRDefault="002612FC" w:rsidP="00D10980">
      <w:pPr>
        <w:spacing w:after="0" w:line="240" w:lineRule="auto"/>
      </w:pPr>
      <w:r>
        <w:separator/>
      </w:r>
    </w:p>
  </w:footnote>
  <w:footnote w:type="continuationSeparator" w:id="0">
    <w:p w14:paraId="2AB79754" w14:textId="77777777" w:rsidR="002612FC" w:rsidRDefault="002612FC" w:rsidP="00D10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05"/>
      <w:gridCol w:w="3463"/>
      <w:gridCol w:w="1678"/>
      <w:gridCol w:w="2284"/>
    </w:tblGrid>
    <w:tr w:rsidR="00E67334" w:rsidRPr="00D11BE1" w14:paraId="6057BB50" w14:textId="77777777" w:rsidTr="00820609">
      <w:tc>
        <w:tcPr>
          <w:tcW w:w="1915" w:type="dxa"/>
        </w:tcPr>
        <w:p w14:paraId="2F5A6DD5" w14:textId="77777777" w:rsidR="00E67334" w:rsidRPr="001205AB" w:rsidRDefault="00E67334" w:rsidP="00D11BE1">
          <w:pPr>
            <w:pStyle w:val="Header"/>
            <w:rPr>
              <w:b/>
            </w:rPr>
          </w:pPr>
          <w:r w:rsidRPr="001205AB">
            <w:rPr>
              <w:b/>
            </w:rPr>
            <w:t>ORGANIZATION:</w:t>
          </w:r>
        </w:p>
      </w:tc>
      <w:tc>
        <w:tcPr>
          <w:tcW w:w="7661" w:type="dxa"/>
          <w:gridSpan w:val="3"/>
        </w:tcPr>
        <w:p w14:paraId="3B344C16" w14:textId="1E100858" w:rsidR="00E67334" w:rsidRPr="001205AB" w:rsidRDefault="00E67334" w:rsidP="00D11BE1">
          <w:pPr>
            <w:pStyle w:val="Header"/>
          </w:pPr>
          <w:r w:rsidRPr="001205AB">
            <w:rPr>
              <w:color w:val="00B0F0"/>
            </w:rPr>
            <w:t>[Insert the name of the Organization, Department or Project which owns the SP</w:t>
          </w:r>
          <w:r w:rsidR="00C66557">
            <w:rPr>
              <w:color w:val="00B0F0"/>
            </w:rPr>
            <w:t>G</w:t>
          </w:r>
          <w:r w:rsidRPr="001205AB">
            <w:rPr>
              <w:color w:val="00B0F0"/>
            </w:rPr>
            <w:t>]</w:t>
          </w:r>
        </w:p>
      </w:tc>
    </w:tr>
    <w:tr w:rsidR="00E67334" w:rsidRPr="00D11BE1" w14:paraId="736D0F7D" w14:textId="77777777" w:rsidTr="00820609">
      <w:tc>
        <w:tcPr>
          <w:tcW w:w="1915" w:type="dxa"/>
        </w:tcPr>
        <w:p w14:paraId="20B9C54E" w14:textId="17D266EE" w:rsidR="00E67334" w:rsidRPr="001205AB" w:rsidRDefault="00E67334" w:rsidP="00D11BE1">
          <w:pPr>
            <w:pStyle w:val="Header"/>
            <w:rPr>
              <w:b/>
            </w:rPr>
          </w:pPr>
          <w:r w:rsidRPr="001205AB">
            <w:rPr>
              <w:b/>
            </w:rPr>
            <w:t>SP</w:t>
          </w:r>
          <w:r w:rsidR="00C66557">
            <w:rPr>
              <w:b/>
            </w:rPr>
            <w:t>G</w:t>
          </w:r>
          <w:r w:rsidRPr="001205AB">
            <w:rPr>
              <w:b/>
            </w:rPr>
            <w:t xml:space="preserve"> TITLE:</w:t>
          </w:r>
        </w:p>
        <w:p w14:paraId="11D301A1" w14:textId="77777777" w:rsidR="00E67334" w:rsidRPr="001205AB" w:rsidRDefault="00E67334" w:rsidP="00D11BE1">
          <w:pPr>
            <w:pStyle w:val="Header"/>
            <w:rPr>
              <w:b/>
            </w:rPr>
          </w:pPr>
        </w:p>
      </w:tc>
      <w:tc>
        <w:tcPr>
          <w:tcW w:w="7661" w:type="dxa"/>
          <w:gridSpan w:val="3"/>
        </w:tcPr>
        <w:p w14:paraId="66F22B1E" w14:textId="14A788E4" w:rsidR="00E67334" w:rsidRPr="001205AB" w:rsidRDefault="00E67334" w:rsidP="00D744CA">
          <w:pPr>
            <w:pStyle w:val="Header"/>
            <w:rPr>
              <w:b/>
            </w:rPr>
          </w:pPr>
          <w:r w:rsidRPr="001205AB">
            <w:rPr>
              <w:b/>
            </w:rPr>
            <w:t>Management and Reporting of Adverse Events, Serious Adverse Events, Unanticipated Adverse Device Effects, and Unanticipated Problems</w:t>
          </w:r>
        </w:p>
      </w:tc>
    </w:tr>
    <w:tr w:rsidR="00E67334" w:rsidRPr="00D11BE1" w14:paraId="48950443" w14:textId="77777777" w:rsidTr="00820609">
      <w:tc>
        <w:tcPr>
          <w:tcW w:w="1915" w:type="dxa"/>
        </w:tcPr>
        <w:p w14:paraId="39F81656" w14:textId="7C3FD1D0" w:rsidR="00E67334" w:rsidRPr="001205AB" w:rsidRDefault="00E67334" w:rsidP="00D11BE1">
          <w:pPr>
            <w:pStyle w:val="Header"/>
            <w:rPr>
              <w:b/>
            </w:rPr>
          </w:pPr>
          <w:r>
            <w:rPr>
              <w:b/>
            </w:rPr>
            <w:t>SPG</w:t>
          </w:r>
          <w:r w:rsidRPr="001205AB">
            <w:rPr>
              <w:b/>
            </w:rPr>
            <w:t xml:space="preserve"> ID:</w:t>
          </w:r>
        </w:p>
      </w:tc>
      <w:tc>
        <w:tcPr>
          <w:tcW w:w="3593" w:type="dxa"/>
        </w:tcPr>
        <w:p w14:paraId="7D7DB8AE" w14:textId="7DC3870F" w:rsidR="00E67334" w:rsidRPr="001205AB" w:rsidRDefault="00E67334" w:rsidP="00D11BE1">
          <w:pPr>
            <w:pStyle w:val="Header"/>
          </w:pPr>
          <w:r w:rsidRPr="001205AB">
            <w:rPr>
              <w:color w:val="00B0F0"/>
            </w:rPr>
            <w:t>[Insert the SP</w:t>
          </w:r>
          <w:r w:rsidR="00C66557">
            <w:rPr>
              <w:color w:val="00B0F0"/>
            </w:rPr>
            <w:t>G</w:t>
          </w:r>
          <w:r w:rsidRPr="001205AB">
            <w:rPr>
              <w:color w:val="00B0F0"/>
            </w:rPr>
            <w:t xml:space="preserve"> identifier]</w:t>
          </w:r>
        </w:p>
      </w:tc>
      <w:tc>
        <w:tcPr>
          <w:tcW w:w="1710" w:type="dxa"/>
        </w:tcPr>
        <w:p w14:paraId="5B22EA70" w14:textId="37611B3D" w:rsidR="00E67334" w:rsidRPr="001205AB" w:rsidRDefault="00E67334" w:rsidP="00D11BE1">
          <w:pPr>
            <w:pStyle w:val="Header"/>
            <w:rPr>
              <w:b/>
            </w:rPr>
          </w:pPr>
          <w:r>
            <w:rPr>
              <w:b/>
            </w:rPr>
            <w:t>SPG</w:t>
          </w:r>
          <w:r w:rsidRPr="001205AB">
            <w:rPr>
              <w:b/>
            </w:rPr>
            <w:t xml:space="preserve"> VERSION:</w:t>
          </w:r>
        </w:p>
      </w:tc>
      <w:tc>
        <w:tcPr>
          <w:tcW w:w="2358" w:type="dxa"/>
        </w:tcPr>
        <w:p w14:paraId="6588B502" w14:textId="235EC49C" w:rsidR="00E67334" w:rsidRPr="001205AB" w:rsidRDefault="00E67334" w:rsidP="00D11BE1">
          <w:pPr>
            <w:pStyle w:val="Header"/>
          </w:pPr>
          <w:r w:rsidRPr="001205AB">
            <w:rPr>
              <w:color w:val="00B0F0"/>
            </w:rPr>
            <w:t xml:space="preserve">[Insert the </w:t>
          </w:r>
          <w:r>
            <w:rPr>
              <w:color w:val="00B0F0"/>
            </w:rPr>
            <w:t>SPG</w:t>
          </w:r>
          <w:r w:rsidRPr="001205AB">
            <w:rPr>
              <w:color w:val="00B0F0"/>
            </w:rPr>
            <w:t xml:space="preserve"> version]</w:t>
          </w:r>
        </w:p>
      </w:tc>
    </w:tr>
  </w:tbl>
  <w:p w14:paraId="6D1B7F14" w14:textId="77777777" w:rsidR="00E67334" w:rsidRDefault="00E67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79B"/>
    <w:multiLevelType w:val="hybridMultilevel"/>
    <w:tmpl w:val="E3AE2E02"/>
    <w:lvl w:ilvl="0" w:tplc="04090001">
      <w:start w:val="1"/>
      <w:numFmt w:val="bullet"/>
      <w:lvlText w:val=""/>
      <w:lvlJc w:val="left"/>
      <w:pPr>
        <w:ind w:left="1139" w:hanging="360"/>
      </w:pPr>
      <w:rPr>
        <w:rFonts w:ascii="Symbol" w:hAnsi="Symbol" w:hint="default"/>
      </w:rPr>
    </w:lvl>
    <w:lvl w:ilvl="1" w:tplc="04090003">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 w15:restartNumberingAfterBreak="0">
    <w:nsid w:val="07766F39"/>
    <w:multiLevelType w:val="hybridMultilevel"/>
    <w:tmpl w:val="6DBC4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D037CA"/>
    <w:multiLevelType w:val="hybridMultilevel"/>
    <w:tmpl w:val="E0361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8F06DB"/>
    <w:multiLevelType w:val="hybridMultilevel"/>
    <w:tmpl w:val="615A4420"/>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4" w15:restartNumberingAfterBreak="0">
    <w:nsid w:val="22647CA9"/>
    <w:multiLevelType w:val="hybridMultilevel"/>
    <w:tmpl w:val="67A2467A"/>
    <w:lvl w:ilvl="0" w:tplc="E0524396">
      <w:numFmt w:val="bullet"/>
      <w:lvlText w:val=""/>
      <w:lvlJc w:val="left"/>
      <w:pPr>
        <w:ind w:left="1080" w:hanging="360"/>
      </w:pPr>
      <w:rPr>
        <w:rFonts w:ascii="Symbol" w:eastAsiaTheme="minorEastAsia"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7F140F"/>
    <w:multiLevelType w:val="hybridMultilevel"/>
    <w:tmpl w:val="56F69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72CB5"/>
    <w:multiLevelType w:val="multilevel"/>
    <w:tmpl w:val="D198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B030A5"/>
    <w:multiLevelType w:val="hybridMultilevel"/>
    <w:tmpl w:val="B6A207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6FB42CF2"/>
    <w:multiLevelType w:val="hybridMultilevel"/>
    <w:tmpl w:val="023E84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6FD0F7E"/>
    <w:multiLevelType w:val="hybridMultilevel"/>
    <w:tmpl w:val="F6A00A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91012478">
    <w:abstractNumId w:val="9"/>
  </w:num>
  <w:num w:numId="2" w16cid:durableId="1602225549">
    <w:abstractNumId w:val="1"/>
  </w:num>
  <w:num w:numId="3" w16cid:durableId="518859198">
    <w:abstractNumId w:val="0"/>
  </w:num>
  <w:num w:numId="4" w16cid:durableId="324168090">
    <w:abstractNumId w:val="3"/>
  </w:num>
  <w:num w:numId="5" w16cid:durableId="7865094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3355027">
    <w:abstractNumId w:val="7"/>
  </w:num>
  <w:num w:numId="7" w16cid:durableId="941648173">
    <w:abstractNumId w:val="2"/>
  </w:num>
  <w:num w:numId="8" w16cid:durableId="462581168">
    <w:abstractNumId w:val="4"/>
  </w:num>
  <w:num w:numId="9" w16cid:durableId="972515072">
    <w:abstractNumId w:val="5"/>
  </w:num>
  <w:num w:numId="10" w16cid:durableId="537662186">
    <w:abstractNumId w:val="8"/>
  </w:num>
  <w:num w:numId="11" w16cid:durableId="14328940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980"/>
    <w:rsid w:val="000028CB"/>
    <w:rsid w:val="0001054B"/>
    <w:rsid w:val="00011358"/>
    <w:rsid w:val="0001169A"/>
    <w:rsid w:val="00011EAA"/>
    <w:rsid w:val="00012CAC"/>
    <w:rsid w:val="000235C4"/>
    <w:rsid w:val="00025FF7"/>
    <w:rsid w:val="00032849"/>
    <w:rsid w:val="00036DC7"/>
    <w:rsid w:val="00037618"/>
    <w:rsid w:val="00046333"/>
    <w:rsid w:val="000464C6"/>
    <w:rsid w:val="0005043C"/>
    <w:rsid w:val="0005204A"/>
    <w:rsid w:val="00055E27"/>
    <w:rsid w:val="000573DF"/>
    <w:rsid w:val="00057C61"/>
    <w:rsid w:val="000648EF"/>
    <w:rsid w:val="0006700B"/>
    <w:rsid w:val="000678A1"/>
    <w:rsid w:val="000700CE"/>
    <w:rsid w:val="00070E84"/>
    <w:rsid w:val="0007254B"/>
    <w:rsid w:val="0008169B"/>
    <w:rsid w:val="00085D0E"/>
    <w:rsid w:val="000864F2"/>
    <w:rsid w:val="00086BDD"/>
    <w:rsid w:val="00097479"/>
    <w:rsid w:val="000B6B25"/>
    <w:rsid w:val="000C0C40"/>
    <w:rsid w:val="000C7CC6"/>
    <w:rsid w:val="000D17CF"/>
    <w:rsid w:val="000D704F"/>
    <w:rsid w:val="000D712A"/>
    <w:rsid w:val="000F39FD"/>
    <w:rsid w:val="001013E5"/>
    <w:rsid w:val="001154E3"/>
    <w:rsid w:val="00116FCD"/>
    <w:rsid w:val="00120192"/>
    <w:rsid w:val="001205AB"/>
    <w:rsid w:val="001235A4"/>
    <w:rsid w:val="00123A09"/>
    <w:rsid w:val="00124FC8"/>
    <w:rsid w:val="00126C35"/>
    <w:rsid w:val="00145E74"/>
    <w:rsid w:val="00147050"/>
    <w:rsid w:val="0015040B"/>
    <w:rsid w:val="00152BC6"/>
    <w:rsid w:val="0015312A"/>
    <w:rsid w:val="001531A6"/>
    <w:rsid w:val="001548DD"/>
    <w:rsid w:val="0016757C"/>
    <w:rsid w:val="00173AC5"/>
    <w:rsid w:val="001764B6"/>
    <w:rsid w:val="001912D1"/>
    <w:rsid w:val="001956F1"/>
    <w:rsid w:val="001A0006"/>
    <w:rsid w:val="001A7510"/>
    <w:rsid w:val="001A7C7E"/>
    <w:rsid w:val="001B50FC"/>
    <w:rsid w:val="001B596B"/>
    <w:rsid w:val="001C4862"/>
    <w:rsid w:val="001C50F2"/>
    <w:rsid w:val="001D3138"/>
    <w:rsid w:val="001F26A1"/>
    <w:rsid w:val="001F697A"/>
    <w:rsid w:val="00201033"/>
    <w:rsid w:val="00204892"/>
    <w:rsid w:val="0021059D"/>
    <w:rsid w:val="00213BB4"/>
    <w:rsid w:val="00214188"/>
    <w:rsid w:val="002225F1"/>
    <w:rsid w:val="00223800"/>
    <w:rsid w:val="002264EF"/>
    <w:rsid w:val="00226947"/>
    <w:rsid w:val="00227FD1"/>
    <w:rsid w:val="002333EF"/>
    <w:rsid w:val="00235CF6"/>
    <w:rsid w:val="00236FEC"/>
    <w:rsid w:val="00247E04"/>
    <w:rsid w:val="002505C6"/>
    <w:rsid w:val="00250F93"/>
    <w:rsid w:val="00257DA5"/>
    <w:rsid w:val="00260147"/>
    <w:rsid w:val="00260237"/>
    <w:rsid w:val="002612FC"/>
    <w:rsid w:val="002645FB"/>
    <w:rsid w:val="00267240"/>
    <w:rsid w:val="002700AD"/>
    <w:rsid w:val="00273366"/>
    <w:rsid w:val="002759E6"/>
    <w:rsid w:val="00277E79"/>
    <w:rsid w:val="0028184D"/>
    <w:rsid w:val="00293977"/>
    <w:rsid w:val="00295A80"/>
    <w:rsid w:val="002A1827"/>
    <w:rsid w:val="002A3CF1"/>
    <w:rsid w:val="002C0854"/>
    <w:rsid w:val="002D2309"/>
    <w:rsid w:val="002D43AD"/>
    <w:rsid w:val="002E29C9"/>
    <w:rsid w:val="002F27A5"/>
    <w:rsid w:val="002F447E"/>
    <w:rsid w:val="00304AB3"/>
    <w:rsid w:val="0030562E"/>
    <w:rsid w:val="00312B7C"/>
    <w:rsid w:val="0031489A"/>
    <w:rsid w:val="003162F4"/>
    <w:rsid w:val="00317315"/>
    <w:rsid w:val="0031772E"/>
    <w:rsid w:val="003213CE"/>
    <w:rsid w:val="003253CA"/>
    <w:rsid w:val="00325C56"/>
    <w:rsid w:val="003308A3"/>
    <w:rsid w:val="00331682"/>
    <w:rsid w:val="00340171"/>
    <w:rsid w:val="00342A39"/>
    <w:rsid w:val="00347442"/>
    <w:rsid w:val="0035509D"/>
    <w:rsid w:val="003642BE"/>
    <w:rsid w:val="00370CBB"/>
    <w:rsid w:val="00371754"/>
    <w:rsid w:val="00371943"/>
    <w:rsid w:val="00375F6D"/>
    <w:rsid w:val="0037716A"/>
    <w:rsid w:val="00387A6B"/>
    <w:rsid w:val="00391A32"/>
    <w:rsid w:val="00391C9E"/>
    <w:rsid w:val="003931B1"/>
    <w:rsid w:val="00393BB2"/>
    <w:rsid w:val="003A3C72"/>
    <w:rsid w:val="003C304B"/>
    <w:rsid w:val="003C3673"/>
    <w:rsid w:val="003D457A"/>
    <w:rsid w:val="003E0559"/>
    <w:rsid w:val="003E2ECD"/>
    <w:rsid w:val="003F02CE"/>
    <w:rsid w:val="003F5D85"/>
    <w:rsid w:val="003F627B"/>
    <w:rsid w:val="00403872"/>
    <w:rsid w:val="004038FB"/>
    <w:rsid w:val="00405F99"/>
    <w:rsid w:val="00411398"/>
    <w:rsid w:val="00411626"/>
    <w:rsid w:val="00416715"/>
    <w:rsid w:val="00432AEB"/>
    <w:rsid w:val="004339A0"/>
    <w:rsid w:val="00434B90"/>
    <w:rsid w:val="0043512E"/>
    <w:rsid w:val="0043523C"/>
    <w:rsid w:val="00441E07"/>
    <w:rsid w:val="00446B2A"/>
    <w:rsid w:val="00450892"/>
    <w:rsid w:val="0045769A"/>
    <w:rsid w:val="00471719"/>
    <w:rsid w:val="00476996"/>
    <w:rsid w:val="0048115B"/>
    <w:rsid w:val="004876E9"/>
    <w:rsid w:val="004A7D3F"/>
    <w:rsid w:val="004B7F00"/>
    <w:rsid w:val="004C0405"/>
    <w:rsid w:val="004C4793"/>
    <w:rsid w:val="004C7352"/>
    <w:rsid w:val="004E361D"/>
    <w:rsid w:val="004E39FF"/>
    <w:rsid w:val="004E6D98"/>
    <w:rsid w:val="004F101B"/>
    <w:rsid w:val="004F1756"/>
    <w:rsid w:val="004F2D92"/>
    <w:rsid w:val="004F415C"/>
    <w:rsid w:val="00501D6F"/>
    <w:rsid w:val="00505FA8"/>
    <w:rsid w:val="005071C0"/>
    <w:rsid w:val="005106B0"/>
    <w:rsid w:val="00514723"/>
    <w:rsid w:val="00515A7E"/>
    <w:rsid w:val="005217BE"/>
    <w:rsid w:val="00524034"/>
    <w:rsid w:val="005467FA"/>
    <w:rsid w:val="00553563"/>
    <w:rsid w:val="00554587"/>
    <w:rsid w:val="005566C0"/>
    <w:rsid w:val="005618BC"/>
    <w:rsid w:val="005674EA"/>
    <w:rsid w:val="0057505D"/>
    <w:rsid w:val="00586955"/>
    <w:rsid w:val="00595CC9"/>
    <w:rsid w:val="00597F87"/>
    <w:rsid w:val="005B15D5"/>
    <w:rsid w:val="005B1E79"/>
    <w:rsid w:val="005B632E"/>
    <w:rsid w:val="005C1E0F"/>
    <w:rsid w:val="005C2040"/>
    <w:rsid w:val="005C491B"/>
    <w:rsid w:val="005C574E"/>
    <w:rsid w:val="005C6AE4"/>
    <w:rsid w:val="005D0481"/>
    <w:rsid w:val="005D24C7"/>
    <w:rsid w:val="005D45AE"/>
    <w:rsid w:val="005D688B"/>
    <w:rsid w:val="005E5536"/>
    <w:rsid w:val="005E7A37"/>
    <w:rsid w:val="005F51DF"/>
    <w:rsid w:val="005F7A0C"/>
    <w:rsid w:val="006014E7"/>
    <w:rsid w:val="0061448E"/>
    <w:rsid w:val="00627E13"/>
    <w:rsid w:val="006360B5"/>
    <w:rsid w:val="006369F0"/>
    <w:rsid w:val="00644F5B"/>
    <w:rsid w:val="0065253C"/>
    <w:rsid w:val="00656796"/>
    <w:rsid w:val="00656EE2"/>
    <w:rsid w:val="00657D32"/>
    <w:rsid w:val="00665FFC"/>
    <w:rsid w:val="0067175C"/>
    <w:rsid w:val="00673229"/>
    <w:rsid w:val="00691196"/>
    <w:rsid w:val="0069197B"/>
    <w:rsid w:val="00694D97"/>
    <w:rsid w:val="0069747F"/>
    <w:rsid w:val="006A0929"/>
    <w:rsid w:val="006A0F2D"/>
    <w:rsid w:val="006A15FF"/>
    <w:rsid w:val="006A4EE1"/>
    <w:rsid w:val="006B2E93"/>
    <w:rsid w:val="006B7F2A"/>
    <w:rsid w:val="006C56F4"/>
    <w:rsid w:val="006D00E8"/>
    <w:rsid w:val="006D15CE"/>
    <w:rsid w:val="006E4003"/>
    <w:rsid w:val="006F114C"/>
    <w:rsid w:val="006F62CD"/>
    <w:rsid w:val="00702B28"/>
    <w:rsid w:val="00717D24"/>
    <w:rsid w:val="00722ED2"/>
    <w:rsid w:val="00725912"/>
    <w:rsid w:val="007337AD"/>
    <w:rsid w:val="0074264E"/>
    <w:rsid w:val="00744461"/>
    <w:rsid w:val="0074529D"/>
    <w:rsid w:val="0075088C"/>
    <w:rsid w:val="0076094E"/>
    <w:rsid w:val="00761D7C"/>
    <w:rsid w:val="00762908"/>
    <w:rsid w:val="00763B95"/>
    <w:rsid w:val="00764324"/>
    <w:rsid w:val="00767DBD"/>
    <w:rsid w:val="00780EF1"/>
    <w:rsid w:val="007839EE"/>
    <w:rsid w:val="007853BF"/>
    <w:rsid w:val="00795F34"/>
    <w:rsid w:val="007A0426"/>
    <w:rsid w:val="007A6D02"/>
    <w:rsid w:val="007B09F5"/>
    <w:rsid w:val="007B100C"/>
    <w:rsid w:val="007B1CAD"/>
    <w:rsid w:val="007C06A2"/>
    <w:rsid w:val="007C438A"/>
    <w:rsid w:val="007C6630"/>
    <w:rsid w:val="007C77DC"/>
    <w:rsid w:val="007D431E"/>
    <w:rsid w:val="007D65CB"/>
    <w:rsid w:val="007E3257"/>
    <w:rsid w:val="007E3572"/>
    <w:rsid w:val="007E6782"/>
    <w:rsid w:val="007F1D14"/>
    <w:rsid w:val="00801E99"/>
    <w:rsid w:val="00812903"/>
    <w:rsid w:val="00813FED"/>
    <w:rsid w:val="00814A02"/>
    <w:rsid w:val="008151DA"/>
    <w:rsid w:val="00820609"/>
    <w:rsid w:val="0082447D"/>
    <w:rsid w:val="00825145"/>
    <w:rsid w:val="00827866"/>
    <w:rsid w:val="00833EC7"/>
    <w:rsid w:val="00840F23"/>
    <w:rsid w:val="00841AFB"/>
    <w:rsid w:val="008517F5"/>
    <w:rsid w:val="008539A4"/>
    <w:rsid w:val="00855B8E"/>
    <w:rsid w:val="00862B5E"/>
    <w:rsid w:val="0086304B"/>
    <w:rsid w:val="00866F66"/>
    <w:rsid w:val="00867409"/>
    <w:rsid w:val="0086749F"/>
    <w:rsid w:val="00871FE0"/>
    <w:rsid w:val="008720CA"/>
    <w:rsid w:val="0087241A"/>
    <w:rsid w:val="0087715A"/>
    <w:rsid w:val="008838AB"/>
    <w:rsid w:val="008859BB"/>
    <w:rsid w:val="00885D3E"/>
    <w:rsid w:val="00890188"/>
    <w:rsid w:val="008955BD"/>
    <w:rsid w:val="008B0E33"/>
    <w:rsid w:val="008D1C45"/>
    <w:rsid w:val="008D1D57"/>
    <w:rsid w:val="008D5E59"/>
    <w:rsid w:val="008D67CA"/>
    <w:rsid w:val="008D7EE4"/>
    <w:rsid w:val="008E7DA8"/>
    <w:rsid w:val="008F07AA"/>
    <w:rsid w:val="008F10A5"/>
    <w:rsid w:val="008F2CFA"/>
    <w:rsid w:val="008F3E5C"/>
    <w:rsid w:val="008F5A99"/>
    <w:rsid w:val="0091134C"/>
    <w:rsid w:val="009141EA"/>
    <w:rsid w:val="00922473"/>
    <w:rsid w:val="00934E30"/>
    <w:rsid w:val="00935810"/>
    <w:rsid w:val="009419EA"/>
    <w:rsid w:val="009427CA"/>
    <w:rsid w:val="00943391"/>
    <w:rsid w:val="00943A80"/>
    <w:rsid w:val="00945268"/>
    <w:rsid w:val="00950690"/>
    <w:rsid w:val="00950CB0"/>
    <w:rsid w:val="0095186F"/>
    <w:rsid w:val="00952CDB"/>
    <w:rsid w:val="009539D9"/>
    <w:rsid w:val="00957D91"/>
    <w:rsid w:val="00963603"/>
    <w:rsid w:val="00963A30"/>
    <w:rsid w:val="00965786"/>
    <w:rsid w:val="00974093"/>
    <w:rsid w:val="00980914"/>
    <w:rsid w:val="009877A8"/>
    <w:rsid w:val="009A3E9B"/>
    <w:rsid w:val="009A6990"/>
    <w:rsid w:val="009A7A89"/>
    <w:rsid w:val="009B2E16"/>
    <w:rsid w:val="009B4631"/>
    <w:rsid w:val="009B4940"/>
    <w:rsid w:val="009E7167"/>
    <w:rsid w:val="009F406C"/>
    <w:rsid w:val="009F5A12"/>
    <w:rsid w:val="009F5C4A"/>
    <w:rsid w:val="00A0123B"/>
    <w:rsid w:val="00A01BB3"/>
    <w:rsid w:val="00A01FA1"/>
    <w:rsid w:val="00A16450"/>
    <w:rsid w:val="00A22B6E"/>
    <w:rsid w:val="00A23E45"/>
    <w:rsid w:val="00A31E6D"/>
    <w:rsid w:val="00A34B44"/>
    <w:rsid w:val="00A5045C"/>
    <w:rsid w:val="00A50826"/>
    <w:rsid w:val="00A539DA"/>
    <w:rsid w:val="00A64273"/>
    <w:rsid w:val="00A65CA9"/>
    <w:rsid w:val="00A66790"/>
    <w:rsid w:val="00A75C54"/>
    <w:rsid w:val="00AA021D"/>
    <w:rsid w:val="00AA666C"/>
    <w:rsid w:val="00AB50AE"/>
    <w:rsid w:val="00AC1998"/>
    <w:rsid w:val="00AC1AC8"/>
    <w:rsid w:val="00AC32AE"/>
    <w:rsid w:val="00AC4186"/>
    <w:rsid w:val="00AC50DF"/>
    <w:rsid w:val="00AC6196"/>
    <w:rsid w:val="00AD5B7A"/>
    <w:rsid w:val="00AD72E4"/>
    <w:rsid w:val="00AE38B9"/>
    <w:rsid w:val="00AE783C"/>
    <w:rsid w:val="00AF2826"/>
    <w:rsid w:val="00AF3BE3"/>
    <w:rsid w:val="00AF429F"/>
    <w:rsid w:val="00AF6830"/>
    <w:rsid w:val="00AF700E"/>
    <w:rsid w:val="00B06676"/>
    <w:rsid w:val="00B06E22"/>
    <w:rsid w:val="00B23F13"/>
    <w:rsid w:val="00B25D90"/>
    <w:rsid w:val="00B31113"/>
    <w:rsid w:val="00B35A8D"/>
    <w:rsid w:val="00B35C93"/>
    <w:rsid w:val="00B36515"/>
    <w:rsid w:val="00B36DA0"/>
    <w:rsid w:val="00B5101D"/>
    <w:rsid w:val="00B5267B"/>
    <w:rsid w:val="00B52DE4"/>
    <w:rsid w:val="00B5502B"/>
    <w:rsid w:val="00B66A66"/>
    <w:rsid w:val="00B67AF7"/>
    <w:rsid w:val="00B70390"/>
    <w:rsid w:val="00B77683"/>
    <w:rsid w:val="00B8099A"/>
    <w:rsid w:val="00B8480C"/>
    <w:rsid w:val="00B9362C"/>
    <w:rsid w:val="00B95B3E"/>
    <w:rsid w:val="00BA3842"/>
    <w:rsid w:val="00BA7DD8"/>
    <w:rsid w:val="00BB1FCF"/>
    <w:rsid w:val="00BB2388"/>
    <w:rsid w:val="00BB2A71"/>
    <w:rsid w:val="00BB3BFB"/>
    <w:rsid w:val="00BB7012"/>
    <w:rsid w:val="00BC2C69"/>
    <w:rsid w:val="00BD724C"/>
    <w:rsid w:val="00BE1E09"/>
    <w:rsid w:val="00BE5ADC"/>
    <w:rsid w:val="00BF6506"/>
    <w:rsid w:val="00BF7ABA"/>
    <w:rsid w:val="00C043FA"/>
    <w:rsid w:val="00C07B34"/>
    <w:rsid w:val="00C1555C"/>
    <w:rsid w:val="00C1624A"/>
    <w:rsid w:val="00C17F3D"/>
    <w:rsid w:val="00C237BD"/>
    <w:rsid w:val="00C24128"/>
    <w:rsid w:val="00C30301"/>
    <w:rsid w:val="00C314D2"/>
    <w:rsid w:val="00C35B71"/>
    <w:rsid w:val="00C43C52"/>
    <w:rsid w:val="00C45D19"/>
    <w:rsid w:val="00C46C18"/>
    <w:rsid w:val="00C51F22"/>
    <w:rsid w:val="00C52FEA"/>
    <w:rsid w:val="00C53B1F"/>
    <w:rsid w:val="00C56332"/>
    <w:rsid w:val="00C64828"/>
    <w:rsid w:val="00C64E2E"/>
    <w:rsid w:val="00C655DF"/>
    <w:rsid w:val="00C66557"/>
    <w:rsid w:val="00C66B9D"/>
    <w:rsid w:val="00C67600"/>
    <w:rsid w:val="00C832B5"/>
    <w:rsid w:val="00C84FE2"/>
    <w:rsid w:val="00C90767"/>
    <w:rsid w:val="00C91945"/>
    <w:rsid w:val="00CA75F0"/>
    <w:rsid w:val="00CB1F07"/>
    <w:rsid w:val="00CB5D4E"/>
    <w:rsid w:val="00CB5ED5"/>
    <w:rsid w:val="00CB607B"/>
    <w:rsid w:val="00CB7C61"/>
    <w:rsid w:val="00CC1C85"/>
    <w:rsid w:val="00CD2BD4"/>
    <w:rsid w:val="00CE171C"/>
    <w:rsid w:val="00CE7BB4"/>
    <w:rsid w:val="00CF07E5"/>
    <w:rsid w:val="00CF50D9"/>
    <w:rsid w:val="00CF5BC9"/>
    <w:rsid w:val="00D00471"/>
    <w:rsid w:val="00D0353E"/>
    <w:rsid w:val="00D10980"/>
    <w:rsid w:val="00D10F41"/>
    <w:rsid w:val="00D11BE1"/>
    <w:rsid w:val="00D134CD"/>
    <w:rsid w:val="00D2019E"/>
    <w:rsid w:val="00D2655E"/>
    <w:rsid w:val="00D2788F"/>
    <w:rsid w:val="00D44A5D"/>
    <w:rsid w:val="00D44E6A"/>
    <w:rsid w:val="00D56B09"/>
    <w:rsid w:val="00D67A95"/>
    <w:rsid w:val="00D744CA"/>
    <w:rsid w:val="00D76F19"/>
    <w:rsid w:val="00D802D6"/>
    <w:rsid w:val="00D804FF"/>
    <w:rsid w:val="00D939B3"/>
    <w:rsid w:val="00DA3E51"/>
    <w:rsid w:val="00DA6615"/>
    <w:rsid w:val="00DA7221"/>
    <w:rsid w:val="00DD1307"/>
    <w:rsid w:val="00DD27B1"/>
    <w:rsid w:val="00DD46A7"/>
    <w:rsid w:val="00DE2804"/>
    <w:rsid w:val="00DF0B40"/>
    <w:rsid w:val="00E04864"/>
    <w:rsid w:val="00E0505D"/>
    <w:rsid w:val="00E10D13"/>
    <w:rsid w:val="00E319A6"/>
    <w:rsid w:val="00E36413"/>
    <w:rsid w:val="00E450E7"/>
    <w:rsid w:val="00E45602"/>
    <w:rsid w:val="00E5256D"/>
    <w:rsid w:val="00E54A87"/>
    <w:rsid w:val="00E658E1"/>
    <w:rsid w:val="00E67334"/>
    <w:rsid w:val="00E70E6C"/>
    <w:rsid w:val="00E75FB7"/>
    <w:rsid w:val="00E7646F"/>
    <w:rsid w:val="00E76729"/>
    <w:rsid w:val="00E76833"/>
    <w:rsid w:val="00E7743B"/>
    <w:rsid w:val="00E77D64"/>
    <w:rsid w:val="00E814A2"/>
    <w:rsid w:val="00E847BA"/>
    <w:rsid w:val="00E93C6A"/>
    <w:rsid w:val="00E97EE3"/>
    <w:rsid w:val="00EA0175"/>
    <w:rsid w:val="00EA3AF8"/>
    <w:rsid w:val="00EC26B8"/>
    <w:rsid w:val="00ED0173"/>
    <w:rsid w:val="00ED151D"/>
    <w:rsid w:val="00ED19B5"/>
    <w:rsid w:val="00ED4FE1"/>
    <w:rsid w:val="00EE5794"/>
    <w:rsid w:val="00F021CE"/>
    <w:rsid w:val="00F03CE2"/>
    <w:rsid w:val="00F0675C"/>
    <w:rsid w:val="00F14432"/>
    <w:rsid w:val="00F14445"/>
    <w:rsid w:val="00F15444"/>
    <w:rsid w:val="00F22F37"/>
    <w:rsid w:val="00F23BEE"/>
    <w:rsid w:val="00F30CC7"/>
    <w:rsid w:val="00F37033"/>
    <w:rsid w:val="00F40446"/>
    <w:rsid w:val="00F44005"/>
    <w:rsid w:val="00F45266"/>
    <w:rsid w:val="00F55516"/>
    <w:rsid w:val="00F73F75"/>
    <w:rsid w:val="00F74162"/>
    <w:rsid w:val="00F760D4"/>
    <w:rsid w:val="00F85BCC"/>
    <w:rsid w:val="00F86541"/>
    <w:rsid w:val="00F9093F"/>
    <w:rsid w:val="00F90953"/>
    <w:rsid w:val="00F97C70"/>
    <w:rsid w:val="00FA4737"/>
    <w:rsid w:val="00FB072C"/>
    <w:rsid w:val="00FB242A"/>
    <w:rsid w:val="00FB527F"/>
    <w:rsid w:val="00FC01FA"/>
    <w:rsid w:val="00FC0A86"/>
    <w:rsid w:val="00FC42AD"/>
    <w:rsid w:val="00FF3A05"/>
    <w:rsid w:val="00FF7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1B7EE8"/>
  <w15:docId w15:val="{2449A18E-A326-44D2-A7B7-612DC867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9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09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109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980"/>
  </w:style>
  <w:style w:type="paragraph" w:styleId="Footer">
    <w:name w:val="footer"/>
    <w:basedOn w:val="Normal"/>
    <w:link w:val="FooterChar"/>
    <w:uiPriority w:val="99"/>
    <w:unhideWhenUsed/>
    <w:rsid w:val="00D10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980"/>
  </w:style>
  <w:style w:type="paragraph" w:styleId="BalloonText">
    <w:name w:val="Balloon Text"/>
    <w:basedOn w:val="Normal"/>
    <w:link w:val="BalloonTextChar"/>
    <w:uiPriority w:val="99"/>
    <w:semiHidden/>
    <w:unhideWhenUsed/>
    <w:rsid w:val="00D10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980"/>
    <w:rPr>
      <w:rFonts w:ascii="Tahoma" w:hAnsi="Tahoma" w:cs="Tahoma"/>
      <w:sz w:val="16"/>
      <w:szCs w:val="16"/>
    </w:rPr>
  </w:style>
  <w:style w:type="table" w:styleId="TableGrid">
    <w:name w:val="Table Grid"/>
    <w:basedOn w:val="TableNormal"/>
    <w:uiPriority w:val="59"/>
    <w:rsid w:val="00D10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0980"/>
    <w:rPr>
      <w:sz w:val="16"/>
      <w:szCs w:val="16"/>
    </w:rPr>
  </w:style>
  <w:style w:type="paragraph" w:styleId="CommentText">
    <w:name w:val="annotation text"/>
    <w:basedOn w:val="Normal"/>
    <w:link w:val="CommentTextChar"/>
    <w:uiPriority w:val="99"/>
    <w:unhideWhenUsed/>
    <w:rsid w:val="00D10980"/>
    <w:pPr>
      <w:widowControl w:val="0"/>
      <w:spacing w:line="240" w:lineRule="auto"/>
    </w:pPr>
    <w:rPr>
      <w:sz w:val="20"/>
      <w:szCs w:val="20"/>
    </w:rPr>
  </w:style>
  <w:style w:type="character" w:customStyle="1" w:styleId="CommentTextChar">
    <w:name w:val="Comment Text Char"/>
    <w:basedOn w:val="DefaultParagraphFont"/>
    <w:link w:val="CommentText"/>
    <w:uiPriority w:val="99"/>
    <w:rsid w:val="00D10980"/>
    <w:rPr>
      <w:sz w:val="20"/>
      <w:szCs w:val="20"/>
    </w:rPr>
  </w:style>
  <w:style w:type="paragraph" w:styleId="ListParagraph">
    <w:name w:val="List Paragraph"/>
    <w:basedOn w:val="Normal"/>
    <w:uiPriority w:val="34"/>
    <w:qFormat/>
    <w:rsid w:val="00D10980"/>
    <w:pPr>
      <w:ind w:left="720"/>
      <w:contextualSpacing/>
    </w:pPr>
  </w:style>
  <w:style w:type="paragraph" w:styleId="Subtitle">
    <w:name w:val="Subtitle"/>
    <w:basedOn w:val="Normal"/>
    <w:next w:val="Normal"/>
    <w:link w:val="SubtitleChar"/>
    <w:uiPriority w:val="11"/>
    <w:qFormat/>
    <w:rsid w:val="00D109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10980"/>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D10980"/>
    <w:rPr>
      <w:i/>
      <w:iCs/>
      <w:color w:val="808080" w:themeColor="text1" w:themeTint="7F"/>
    </w:rPr>
  </w:style>
  <w:style w:type="paragraph" w:styleId="NoSpacing">
    <w:name w:val="No Spacing"/>
    <w:uiPriority w:val="1"/>
    <w:qFormat/>
    <w:rsid w:val="00D10980"/>
    <w:pPr>
      <w:spacing w:after="0" w:line="240" w:lineRule="auto"/>
    </w:pPr>
  </w:style>
  <w:style w:type="character" w:customStyle="1" w:styleId="Heading1Char">
    <w:name w:val="Heading 1 Char"/>
    <w:basedOn w:val="DefaultParagraphFont"/>
    <w:link w:val="Heading1"/>
    <w:uiPriority w:val="9"/>
    <w:rsid w:val="00D109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098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10980"/>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B25D90"/>
    <w:pPr>
      <w:widowControl/>
    </w:pPr>
    <w:rPr>
      <w:b/>
      <w:bCs/>
    </w:rPr>
  </w:style>
  <w:style w:type="character" w:customStyle="1" w:styleId="CommentSubjectChar">
    <w:name w:val="Comment Subject Char"/>
    <w:basedOn w:val="CommentTextChar"/>
    <w:link w:val="CommentSubject"/>
    <w:uiPriority w:val="99"/>
    <w:semiHidden/>
    <w:rsid w:val="00B25D90"/>
    <w:rPr>
      <w:b/>
      <w:bCs/>
      <w:sz w:val="20"/>
      <w:szCs w:val="20"/>
    </w:rPr>
  </w:style>
  <w:style w:type="paragraph" w:styleId="Revision">
    <w:name w:val="Revision"/>
    <w:hidden/>
    <w:uiPriority w:val="99"/>
    <w:semiHidden/>
    <w:rsid w:val="00201033"/>
    <w:pPr>
      <w:spacing w:after="0" w:line="240" w:lineRule="auto"/>
    </w:pPr>
  </w:style>
  <w:style w:type="paragraph" w:customStyle="1" w:styleId="Default">
    <w:name w:val="Default"/>
    <w:rsid w:val="00AC4186"/>
    <w:pPr>
      <w:autoSpaceDE w:val="0"/>
      <w:autoSpaceDN w:val="0"/>
      <w:adjustRightInd w:val="0"/>
      <w:spacing w:after="0" w:line="240" w:lineRule="auto"/>
    </w:pPr>
    <w:rPr>
      <w:rFonts w:ascii="Arial" w:hAnsi="Arial" w:cs="Arial"/>
      <w:color w:val="000000"/>
      <w:sz w:val="24"/>
      <w:szCs w:val="24"/>
    </w:rPr>
  </w:style>
  <w:style w:type="paragraph" w:customStyle="1" w:styleId="tabletext">
    <w:name w:val="table text"/>
    <w:basedOn w:val="Normal"/>
    <w:rsid w:val="0091134C"/>
    <w:pPr>
      <w:spacing w:before="120" w:after="0" w:line="240" w:lineRule="auto"/>
    </w:pPr>
    <w:rPr>
      <w:rFonts w:ascii="Arial" w:eastAsia="Times New Roman" w:hAnsi="Arial" w:cs="Times New Roman"/>
      <w:sz w:val="20"/>
      <w:szCs w:val="20"/>
    </w:rPr>
  </w:style>
  <w:style w:type="character" w:styleId="Hyperlink">
    <w:name w:val="Hyperlink"/>
    <w:basedOn w:val="DefaultParagraphFont"/>
    <w:uiPriority w:val="99"/>
    <w:unhideWhenUsed/>
    <w:rsid w:val="00D44E6A"/>
    <w:rPr>
      <w:color w:val="0000FF" w:themeColor="hyperlink"/>
      <w:u w:val="single"/>
    </w:rPr>
  </w:style>
  <w:style w:type="paragraph" w:styleId="NormalWeb">
    <w:name w:val="Normal (Web)"/>
    <w:basedOn w:val="Normal"/>
    <w:uiPriority w:val="99"/>
    <w:unhideWhenUsed/>
    <w:rsid w:val="0031489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7DA8"/>
    <w:rPr>
      <w:i/>
      <w:iCs/>
    </w:rPr>
  </w:style>
  <w:style w:type="character" w:styleId="FollowedHyperlink">
    <w:name w:val="FollowedHyperlink"/>
    <w:basedOn w:val="DefaultParagraphFont"/>
    <w:uiPriority w:val="99"/>
    <w:semiHidden/>
    <w:unhideWhenUsed/>
    <w:rsid w:val="007F1D14"/>
    <w:rPr>
      <w:color w:val="800080" w:themeColor="followedHyperlink"/>
      <w:u w:val="single"/>
    </w:rPr>
  </w:style>
  <w:style w:type="character" w:styleId="Strong">
    <w:name w:val="Strong"/>
    <w:basedOn w:val="DefaultParagraphFont"/>
    <w:uiPriority w:val="22"/>
    <w:qFormat/>
    <w:rsid w:val="004B7F00"/>
    <w:rPr>
      <w:b/>
      <w:bCs/>
    </w:rPr>
  </w:style>
  <w:style w:type="character" w:styleId="UnresolvedMention">
    <w:name w:val="Unresolved Mention"/>
    <w:basedOn w:val="DefaultParagraphFont"/>
    <w:uiPriority w:val="99"/>
    <w:semiHidden/>
    <w:unhideWhenUsed/>
    <w:rsid w:val="00AE783C"/>
    <w:rPr>
      <w:color w:val="605E5C"/>
      <w:shd w:val="clear" w:color="auto" w:fill="E1DFDD"/>
    </w:rPr>
  </w:style>
  <w:style w:type="character" w:customStyle="1" w:styleId="cf01">
    <w:name w:val="cf01"/>
    <w:basedOn w:val="DefaultParagraphFont"/>
    <w:rsid w:val="00C45D1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8445">
      <w:bodyDiv w:val="1"/>
      <w:marLeft w:val="0"/>
      <w:marRight w:val="0"/>
      <w:marTop w:val="0"/>
      <w:marBottom w:val="0"/>
      <w:divBdr>
        <w:top w:val="none" w:sz="0" w:space="0" w:color="auto"/>
        <w:left w:val="none" w:sz="0" w:space="0" w:color="auto"/>
        <w:bottom w:val="none" w:sz="0" w:space="0" w:color="auto"/>
        <w:right w:val="none" w:sz="0" w:space="0" w:color="auto"/>
      </w:divBdr>
    </w:div>
    <w:div w:id="244537411">
      <w:bodyDiv w:val="1"/>
      <w:marLeft w:val="0"/>
      <w:marRight w:val="0"/>
      <w:marTop w:val="0"/>
      <w:marBottom w:val="0"/>
      <w:divBdr>
        <w:top w:val="none" w:sz="0" w:space="0" w:color="auto"/>
        <w:left w:val="none" w:sz="0" w:space="0" w:color="auto"/>
        <w:bottom w:val="none" w:sz="0" w:space="0" w:color="auto"/>
        <w:right w:val="none" w:sz="0" w:space="0" w:color="auto"/>
      </w:divBdr>
    </w:div>
    <w:div w:id="444152931">
      <w:bodyDiv w:val="1"/>
      <w:marLeft w:val="0"/>
      <w:marRight w:val="0"/>
      <w:marTop w:val="0"/>
      <w:marBottom w:val="0"/>
      <w:divBdr>
        <w:top w:val="none" w:sz="0" w:space="0" w:color="auto"/>
        <w:left w:val="none" w:sz="0" w:space="0" w:color="auto"/>
        <w:bottom w:val="none" w:sz="0" w:space="0" w:color="auto"/>
        <w:right w:val="none" w:sz="0" w:space="0" w:color="auto"/>
      </w:divBdr>
    </w:div>
    <w:div w:id="549418350">
      <w:bodyDiv w:val="1"/>
      <w:marLeft w:val="0"/>
      <w:marRight w:val="0"/>
      <w:marTop w:val="0"/>
      <w:marBottom w:val="0"/>
      <w:divBdr>
        <w:top w:val="none" w:sz="0" w:space="0" w:color="auto"/>
        <w:left w:val="none" w:sz="0" w:space="0" w:color="auto"/>
        <w:bottom w:val="none" w:sz="0" w:space="0" w:color="auto"/>
        <w:right w:val="none" w:sz="0" w:space="0" w:color="auto"/>
      </w:divBdr>
    </w:div>
    <w:div w:id="1058359080">
      <w:bodyDiv w:val="1"/>
      <w:marLeft w:val="0"/>
      <w:marRight w:val="0"/>
      <w:marTop w:val="0"/>
      <w:marBottom w:val="0"/>
      <w:divBdr>
        <w:top w:val="none" w:sz="0" w:space="0" w:color="auto"/>
        <w:left w:val="none" w:sz="0" w:space="0" w:color="auto"/>
        <w:bottom w:val="none" w:sz="0" w:space="0" w:color="auto"/>
        <w:right w:val="none" w:sz="0" w:space="0" w:color="auto"/>
      </w:divBdr>
    </w:div>
    <w:div w:id="1126243800">
      <w:bodyDiv w:val="1"/>
      <w:marLeft w:val="0"/>
      <w:marRight w:val="0"/>
      <w:marTop w:val="0"/>
      <w:marBottom w:val="0"/>
      <w:divBdr>
        <w:top w:val="none" w:sz="0" w:space="0" w:color="auto"/>
        <w:left w:val="none" w:sz="0" w:space="0" w:color="auto"/>
        <w:bottom w:val="none" w:sz="0" w:space="0" w:color="auto"/>
        <w:right w:val="none" w:sz="0" w:space="0" w:color="auto"/>
      </w:divBdr>
    </w:div>
    <w:div w:id="1442609668">
      <w:bodyDiv w:val="1"/>
      <w:marLeft w:val="0"/>
      <w:marRight w:val="0"/>
      <w:marTop w:val="0"/>
      <w:marBottom w:val="0"/>
      <w:divBdr>
        <w:top w:val="none" w:sz="0" w:space="0" w:color="auto"/>
        <w:left w:val="none" w:sz="0" w:space="0" w:color="auto"/>
        <w:bottom w:val="none" w:sz="0" w:space="0" w:color="auto"/>
        <w:right w:val="none" w:sz="0" w:space="0" w:color="auto"/>
      </w:divBdr>
    </w:div>
    <w:div w:id="1526862568">
      <w:bodyDiv w:val="1"/>
      <w:marLeft w:val="0"/>
      <w:marRight w:val="0"/>
      <w:marTop w:val="0"/>
      <w:marBottom w:val="0"/>
      <w:divBdr>
        <w:top w:val="none" w:sz="0" w:space="0" w:color="auto"/>
        <w:left w:val="none" w:sz="0" w:space="0" w:color="auto"/>
        <w:bottom w:val="none" w:sz="0" w:space="0" w:color="auto"/>
        <w:right w:val="none" w:sz="0" w:space="0" w:color="auto"/>
      </w:divBdr>
    </w:div>
    <w:div w:id="1823622862">
      <w:bodyDiv w:val="1"/>
      <w:marLeft w:val="0"/>
      <w:marRight w:val="0"/>
      <w:marTop w:val="0"/>
      <w:marBottom w:val="0"/>
      <w:divBdr>
        <w:top w:val="none" w:sz="0" w:space="0" w:color="auto"/>
        <w:left w:val="none" w:sz="0" w:space="0" w:color="auto"/>
        <w:bottom w:val="none" w:sz="0" w:space="0" w:color="auto"/>
        <w:right w:val="none" w:sz="0" w:space="0" w:color="auto"/>
      </w:divBdr>
    </w:div>
    <w:div w:id="1857160445">
      <w:bodyDiv w:val="1"/>
      <w:marLeft w:val="0"/>
      <w:marRight w:val="0"/>
      <w:marTop w:val="0"/>
      <w:marBottom w:val="0"/>
      <w:divBdr>
        <w:top w:val="none" w:sz="0" w:space="0" w:color="auto"/>
        <w:left w:val="none" w:sz="0" w:space="0" w:color="auto"/>
        <w:bottom w:val="none" w:sz="0" w:space="0" w:color="auto"/>
        <w:right w:val="none" w:sz="0" w:space="0" w:color="auto"/>
      </w:divBdr>
    </w:div>
    <w:div w:id="2115779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da.gov/media/85124/download" TargetMode="External"/><Relationship Id="rId18" Type="http://schemas.openxmlformats.org/officeDocument/2006/relationships/hyperlink" Target="https://www.accessdata.fda.gov/scripts/cdrh/cfdocs/cfCFR/CFRSearch.cfm?fr=312.53" TargetMode="External"/><Relationship Id="rId26" Type="http://schemas.openxmlformats.org/officeDocument/2006/relationships/hyperlink" Target="https://research.medicine.umich.edu/office-research/institutional-review-boards-irbmed/guidance/adverse-events-aes-other-reportable-information-and-occurrences-orios-and-other-required-reporting/other-reportable-information-or-occurrence-orio" TargetMode="External"/><Relationship Id="rId3" Type="http://schemas.openxmlformats.org/officeDocument/2006/relationships/customXml" Target="../customXml/item3.xml"/><Relationship Id="rId21" Type="http://schemas.openxmlformats.org/officeDocument/2006/relationships/hyperlink" Target="https://www.fda.gov/safety/medwatch-fda-safety-information-and-adverse-event-reporting-program/reporting-serious-problems-fda" TargetMode="External"/><Relationship Id="rId7" Type="http://schemas.openxmlformats.org/officeDocument/2006/relationships/settings" Target="settings.xml"/><Relationship Id="rId12" Type="http://schemas.openxmlformats.org/officeDocument/2006/relationships/hyperlink" Target="https://research.medicine.umich.edu/office-research/institutional-review-boards-irbmed/guidance/adverse-events-aes-other-reportable-information-and-occurrences-orios-and-other-required-reporting/adverse-event-reporting" TargetMode="External"/><Relationship Id="rId17" Type="http://schemas.openxmlformats.org/officeDocument/2006/relationships/hyperlink" Target="https://www.ecfr.gov/current/title-21/chapter-I/subchapter-D/part-312" TargetMode="External"/><Relationship Id="rId25" Type="http://schemas.openxmlformats.org/officeDocument/2006/relationships/hyperlink" Target="http://www.hhs.gov/ohrp/regulations-and-policy/guidance/reviewing-unanticipated-problems" TargetMode="External"/><Relationship Id="rId2" Type="http://schemas.openxmlformats.org/officeDocument/2006/relationships/customXml" Target="../customXml/item2.xml"/><Relationship Id="rId16" Type="http://schemas.openxmlformats.org/officeDocument/2006/relationships/hyperlink" Target="https://www.accessdata.fda.gov/scripts/cdrh/cfdocs/cfCFR/CFRSearch.cfm?CFRPart=56" TargetMode="External"/><Relationship Id="rId20" Type="http://schemas.openxmlformats.org/officeDocument/2006/relationships/hyperlink" Target="https://www.ecfr.gov/current/title-2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medicine.umich.edu/office-research/institutional-review-boards-irbmed/guidance/glossary" TargetMode="External"/><Relationship Id="rId24" Type="http://schemas.openxmlformats.org/officeDocument/2006/relationships/hyperlink" Target="https://az.research.umich.edu/medschool/policies/university-michigan-medical-school-policy-requirement-use-michr-miap-servic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ccessdata.fda.gov/scripts/cdrh/cfdocs/cfcfr/CFRSearch.cfm?fr=812.3" TargetMode="External"/><Relationship Id="rId23" Type="http://schemas.openxmlformats.org/officeDocument/2006/relationships/hyperlink" Target="https://database.ich.org/sites/default/files/E6_R2_Addendum.pdf" TargetMode="External"/><Relationship Id="rId28" Type="http://schemas.openxmlformats.org/officeDocument/2006/relationships/hyperlink" Target="https://az.research.umich.edu/medschool/guidance/study-specific-ae-reporting" TargetMode="External"/><Relationship Id="rId10" Type="http://schemas.openxmlformats.org/officeDocument/2006/relationships/endnotes" Target="endnotes.xml"/><Relationship Id="rId19" Type="http://schemas.openxmlformats.org/officeDocument/2006/relationships/hyperlink" Target="https://www.accessdata.fda.gov/scripts/cdrh/cfdocs/cfcfr/cfrsearch.cfm?fr=312.66"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da.gov/BiologicsBloodVaccines/DevelopmentApprovalProcess/InvestigationalNewDrugINDorDeviceExemptionIDEProcess/" TargetMode="External"/><Relationship Id="rId22" Type="http://schemas.openxmlformats.org/officeDocument/2006/relationships/hyperlink" Target="http://www.ich.org/" TargetMode="External"/><Relationship Id="rId27" Type="http://schemas.openxmlformats.org/officeDocument/2006/relationships/hyperlink" Target="https://research.medicine.umich.edu/office-research/institutional-review-boards-irbmed/guidance/adverse-events-aes-other-reportable-information-and-occurrences-orios-and-other-required-reporting/adverse-event-reporting/external-adverse-event-ae-reportin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8B1404EC7BC0419CD7E75017E6AB63" ma:contentTypeVersion="1" ma:contentTypeDescription="Create a new document." ma:contentTypeScope="" ma:versionID="4b90923551de16da4e72c5a749a9e133">
  <xsd:schema xmlns:xsd="http://www.w3.org/2001/XMLSchema" xmlns:xs="http://www.w3.org/2001/XMLSchema" xmlns:p="http://schemas.microsoft.com/office/2006/metadata/properties" xmlns:ns2="9a14c067-2504-4fea-af45-7a353ba52eaa" targetNamespace="http://schemas.microsoft.com/office/2006/metadata/properties" ma:root="true" ma:fieldsID="69bb055b1ffa9d59552c2d628c66495a" ns2:_="">
    <xsd:import namespace="9a14c067-2504-4fea-af45-7a353ba52ea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4c067-2504-4fea-af45-7a353ba52ea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3AA00-9E6F-4B62-8094-447FA621B16C}">
  <ds:schemaRefs>
    <ds:schemaRef ds:uri="http://schemas.microsoft.com/office/2006/metadata/properties"/>
    <ds:schemaRef ds:uri="http://schemas.microsoft.com/office/infopath/2007/PartnerControls"/>
    <ds:schemaRef ds:uri="http://purl.org/dc/terms/"/>
    <ds:schemaRef ds:uri="http://purl.org/dc/dcmitype/"/>
    <ds:schemaRef ds:uri="http://www.w3.org/XML/1998/namespace"/>
    <ds:schemaRef ds:uri="http://schemas.microsoft.com/office/2006/documentManagement/types"/>
    <ds:schemaRef ds:uri="9a14c067-2504-4fea-af45-7a353ba52eaa"/>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830202DE-429B-4192-9557-F4128D2F0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4c067-2504-4fea-af45-7a353ba52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A6CF1D-5E31-45A0-A6EF-BB53E3BBAE6C}">
  <ds:schemaRefs>
    <ds:schemaRef ds:uri="http://schemas.microsoft.com/sharepoint/v3/contenttype/forms"/>
  </ds:schemaRefs>
</ds:datastoreItem>
</file>

<file path=customXml/itemProps4.xml><?xml version="1.0" encoding="utf-8"?>
<ds:datastoreItem xmlns:ds="http://schemas.openxmlformats.org/officeDocument/2006/customXml" ds:itemID="{1CA955A7-50F3-5540-955D-C15BB0502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3856</Words>
  <Characters>21985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25790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Burhop, Sue</dc:creator>
  <cp:lastModifiedBy>Benedict-Blue, Monika</cp:lastModifiedBy>
  <cp:revision>21</cp:revision>
  <cp:lastPrinted>2016-10-31T15:37:00Z</cp:lastPrinted>
  <dcterms:created xsi:type="dcterms:W3CDTF">2022-11-04T13:02:00Z</dcterms:created>
  <dcterms:modified xsi:type="dcterms:W3CDTF">2022-11-04T16:58:00Z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0x010100B48B1404EC7BC0419CD7E75017E6AB63</vt:lpwstr>
  </property>
</Properties>
</file>