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2785" w14:textId="54629B1D" w:rsidR="001727B9" w:rsidRDefault="00B92F87" w:rsidP="00927C08">
      <w:pPr>
        <w:tabs>
          <w:tab w:val="left" w:pos="9180"/>
        </w:tabs>
        <w:spacing w:after="0" w:line="240" w:lineRule="auto"/>
        <w:ind w:right="720"/>
        <w:rPr>
          <w:rFonts w:cs="Calibri"/>
          <w:b/>
          <w:bCs/>
          <w:i/>
          <w:sz w:val="28"/>
          <w:szCs w:val="28"/>
        </w:rPr>
      </w:pPr>
      <w:r w:rsidRPr="00B92F87">
        <w:rPr>
          <w:rFonts w:cs="Arial"/>
          <w:b/>
          <w:i/>
          <w:sz w:val="28"/>
          <w:szCs w:val="28"/>
        </w:rPr>
        <w:t>Investigational Product (IP)</w:t>
      </w:r>
      <w:r w:rsidRPr="00B92F87">
        <w:rPr>
          <w:rFonts w:cs="Arial"/>
          <w:b/>
        </w:rPr>
        <w:t xml:space="preserve"> </w:t>
      </w:r>
    </w:p>
    <w:p w14:paraId="6A29930E" w14:textId="4CDAB4AD" w:rsidR="006D47ED" w:rsidRPr="00A04CFA" w:rsidRDefault="006D47ED" w:rsidP="00927C08">
      <w:pPr>
        <w:tabs>
          <w:tab w:val="left" w:pos="9180"/>
        </w:tabs>
        <w:spacing w:after="0" w:line="240" w:lineRule="auto"/>
        <w:ind w:right="720"/>
        <w:rPr>
          <w:rFonts w:cs="Calibri"/>
          <w:b/>
          <w:bCs/>
          <w:sz w:val="28"/>
          <w:szCs w:val="28"/>
        </w:rPr>
      </w:pPr>
    </w:p>
    <w:p w14:paraId="7BB660E0" w14:textId="77777777" w:rsidR="00B9073D" w:rsidRDefault="00695A12" w:rsidP="00FD2876">
      <w:pPr>
        <w:pStyle w:val="ListParagraph"/>
        <w:numPr>
          <w:ilvl w:val="0"/>
          <w:numId w:val="1"/>
        </w:numPr>
        <w:tabs>
          <w:tab w:val="left" w:pos="9180"/>
        </w:tabs>
        <w:spacing w:after="0" w:line="240" w:lineRule="auto"/>
        <w:ind w:right="720"/>
        <w:rPr>
          <w:b/>
        </w:rPr>
      </w:pPr>
      <w:r w:rsidRPr="00B9073D">
        <w:rPr>
          <w:b/>
        </w:rPr>
        <w:t>PURPOSE</w:t>
      </w:r>
      <w:r w:rsidR="00BE6802" w:rsidRPr="00B9073D">
        <w:rPr>
          <w:b/>
        </w:rPr>
        <w:t xml:space="preserve"> </w:t>
      </w:r>
    </w:p>
    <w:p w14:paraId="4C6B5845" w14:textId="77777777" w:rsidR="00B9073D" w:rsidRDefault="00B9073D" w:rsidP="00FD2876">
      <w:pPr>
        <w:pStyle w:val="ListParagraph"/>
        <w:tabs>
          <w:tab w:val="left" w:pos="9180"/>
        </w:tabs>
        <w:spacing w:after="0" w:line="240" w:lineRule="auto"/>
        <w:ind w:left="360" w:right="720"/>
        <w:rPr>
          <w:rFonts w:cs="Calibri"/>
        </w:rPr>
      </w:pPr>
    </w:p>
    <w:p w14:paraId="19B33562" w14:textId="45B1B435" w:rsidR="007B5772" w:rsidRDefault="00F52267" w:rsidP="00FD2876">
      <w:pPr>
        <w:pStyle w:val="ListParagraph"/>
        <w:tabs>
          <w:tab w:val="left" w:pos="9180"/>
        </w:tabs>
        <w:spacing w:after="0" w:line="240" w:lineRule="auto"/>
        <w:ind w:left="360" w:right="720"/>
        <w:rPr>
          <w:rFonts w:cs="Calibri"/>
        </w:rPr>
      </w:pPr>
      <w:r w:rsidRPr="00B9073D">
        <w:rPr>
          <w:rFonts w:cs="Calibri"/>
        </w:rPr>
        <w:t xml:space="preserve">This </w:t>
      </w:r>
      <w:r w:rsidR="005E4A9F">
        <w:rPr>
          <w:rFonts w:cs="Calibri"/>
        </w:rPr>
        <w:t>Standard Practice Guideline</w:t>
      </w:r>
      <w:r w:rsidRPr="00B9073D">
        <w:rPr>
          <w:rFonts w:cs="Calibri"/>
        </w:rPr>
        <w:t xml:space="preserve"> (</w:t>
      </w:r>
      <w:r w:rsidR="005E4A9F">
        <w:rPr>
          <w:rFonts w:cs="Calibri"/>
        </w:rPr>
        <w:t>SPG</w:t>
      </w:r>
      <w:r w:rsidRPr="00B9073D">
        <w:rPr>
          <w:rFonts w:cs="Calibri"/>
        </w:rPr>
        <w:t xml:space="preserve">) describes the </w:t>
      </w:r>
      <w:r w:rsidR="00D56868">
        <w:rPr>
          <w:rFonts w:cs="Calibri"/>
        </w:rPr>
        <w:t>regulatory responsibilities, processes, and procedures pertaining to the accountability of the Investigational Product</w:t>
      </w:r>
      <w:r w:rsidR="00FE4055">
        <w:rPr>
          <w:rFonts w:cs="Calibri"/>
        </w:rPr>
        <w:t xml:space="preserve"> </w:t>
      </w:r>
      <w:r w:rsidR="00D56868">
        <w:rPr>
          <w:rFonts w:cs="Calibri"/>
        </w:rPr>
        <w:t>(IP)</w:t>
      </w:r>
      <w:r w:rsidR="00436391">
        <w:rPr>
          <w:rFonts w:cs="Calibri"/>
        </w:rPr>
        <w:t xml:space="preserve"> </w:t>
      </w:r>
      <w:r w:rsidR="00D56868">
        <w:rPr>
          <w:rFonts w:cs="Calibri"/>
        </w:rPr>
        <w:t xml:space="preserve">(including </w:t>
      </w:r>
      <w:r w:rsidR="002A2B87">
        <w:rPr>
          <w:rFonts w:cs="Calibri"/>
        </w:rPr>
        <w:t xml:space="preserve">investigational drugs and biologics, </w:t>
      </w:r>
      <w:r w:rsidR="00D56868">
        <w:rPr>
          <w:rFonts w:cs="Calibri"/>
        </w:rPr>
        <w:t>placebos</w:t>
      </w:r>
      <w:r w:rsidR="002A2B87">
        <w:rPr>
          <w:rFonts w:cs="Calibri"/>
        </w:rPr>
        <w:t xml:space="preserve">, </w:t>
      </w:r>
      <w:r w:rsidR="00D56868">
        <w:rPr>
          <w:rFonts w:cs="Calibri"/>
        </w:rPr>
        <w:t>investigational devices, and combination products)</w:t>
      </w:r>
      <w:r w:rsidR="007B5772">
        <w:rPr>
          <w:rFonts w:cs="Calibri"/>
        </w:rPr>
        <w:t>.</w:t>
      </w:r>
    </w:p>
    <w:p w14:paraId="560BF324" w14:textId="0B13B1CB" w:rsidR="005A58E9" w:rsidRDefault="00CD12A1" w:rsidP="00FD2876">
      <w:pPr>
        <w:pStyle w:val="ListParagraph"/>
        <w:spacing w:after="0" w:line="240" w:lineRule="auto"/>
        <w:ind w:left="360" w:right="720"/>
        <w:rPr>
          <w:rFonts w:cs="Calibri"/>
          <w:b/>
        </w:rPr>
      </w:pPr>
      <w:r w:rsidRPr="00B9073D">
        <w:rPr>
          <w:rFonts w:cs="Calibri"/>
          <w:b/>
        </w:rPr>
        <w:t>(MANDATORY LANGUAGE)</w:t>
      </w:r>
    </w:p>
    <w:p w14:paraId="2B028AAF" w14:textId="77777777" w:rsidR="0062182C" w:rsidRPr="00B9073D" w:rsidRDefault="0062182C" w:rsidP="00FD2876">
      <w:pPr>
        <w:pStyle w:val="ListParagraph"/>
        <w:spacing w:after="0" w:line="240" w:lineRule="auto"/>
        <w:ind w:left="360" w:right="720"/>
        <w:rPr>
          <w:b/>
        </w:rPr>
      </w:pPr>
    </w:p>
    <w:p w14:paraId="3CBDD685" w14:textId="77777777" w:rsidR="0062182C" w:rsidRPr="0062182C" w:rsidRDefault="00695A12" w:rsidP="00FD2876">
      <w:pPr>
        <w:pStyle w:val="ListParagraph"/>
        <w:widowControl w:val="0"/>
        <w:numPr>
          <w:ilvl w:val="0"/>
          <w:numId w:val="1"/>
        </w:numPr>
        <w:autoSpaceDE w:val="0"/>
        <w:autoSpaceDN w:val="0"/>
        <w:adjustRightInd w:val="0"/>
        <w:spacing w:after="0" w:line="240" w:lineRule="auto"/>
        <w:ind w:right="720"/>
        <w:rPr>
          <w:rFonts w:cs="Calibri"/>
          <w:b/>
        </w:rPr>
      </w:pPr>
      <w:r w:rsidRPr="0062182C">
        <w:rPr>
          <w:b/>
        </w:rPr>
        <w:t xml:space="preserve">SCOPE </w:t>
      </w:r>
    </w:p>
    <w:p w14:paraId="3B588A0E" w14:textId="77777777" w:rsidR="0062182C" w:rsidRPr="00F0276E" w:rsidRDefault="0062182C" w:rsidP="00FD2876">
      <w:pPr>
        <w:widowControl w:val="0"/>
        <w:autoSpaceDE w:val="0"/>
        <w:autoSpaceDN w:val="0"/>
        <w:adjustRightInd w:val="0"/>
        <w:spacing w:after="0" w:line="240" w:lineRule="auto"/>
        <w:ind w:right="720"/>
        <w:rPr>
          <w:rFonts w:cs="Calibri"/>
        </w:rPr>
      </w:pPr>
    </w:p>
    <w:p w14:paraId="3C95A6DF" w14:textId="24F00AC3" w:rsidR="0062182C" w:rsidRPr="00BD2A53" w:rsidRDefault="0062182C" w:rsidP="00B701A2">
      <w:pPr>
        <w:spacing w:after="0" w:line="240" w:lineRule="auto"/>
        <w:ind w:left="360" w:right="936"/>
        <w:rPr>
          <w:rFonts w:cs="Calibri"/>
        </w:rPr>
      </w:pPr>
      <w:r w:rsidRPr="00086426">
        <w:rPr>
          <w:rFonts w:cs="Calibri"/>
        </w:rPr>
        <w:t xml:space="preserve">This </w:t>
      </w:r>
      <w:r w:rsidR="005E4A9F">
        <w:rPr>
          <w:rFonts w:cs="Calibri"/>
        </w:rPr>
        <w:t>SPG</w:t>
      </w:r>
      <w:r w:rsidRPr="00086426">
        <w:rPr>
          <w:rFonts w:cs="Calibri"/>
        </w:rPr>
        <w:t xml:space="preserve"> applies to </w:t>
      </w:r>
      <w:r>
        <w:rPr>
          <w:rFonts w:cs="Calibri"/>
        </w:rPr>
        <w:t>all members of the research team</w:t>
      </w:r>
      <w:r w:rsidR="00215228">
        <w:rPr>
          <w:rFonts w:cs="Calibri"/>
        </w:rPr>
        <w:t xml:space="preserve"> including Sponsor</w:t>
      </w:r>
      <w:r w:rsidR="003C7798">
        <w:rPr>
          <w:rFonts w:cs="Calibri"/>
        </w:rPr>
        <w:t>-</w:t>
      </w:r>
      <w:r w:rsidR="00215228">
        <w:rPr>
          <w:rFonts w:cs="Calibri"/>
        </w:rPr>
        <w:t>Investigators</w:t>
      </w:r>
      <w:r w:rsidR="004B6F21">
        <w:rPr>
          <w:rFonts w:cs="Calibri"/>
        </w:rPr>
        <w:t xml:space="preserve"> (SI)</w:t>
      </w:r>
      <w:r>
        <w:rPr>
          <w:rFonts w:cs="Calibri"/>
        </w:rPr>
        <w:t xml:space="preserve"> involved with the management of </w:t>
      </w:r>
      <w:r w:rsidR="009F6629">
        <w:rPr>
          <w:rFonts w:cs="Calibri"/>
        </w:rPr>
        <w:t>the IP</w:t>
      </w:r>
      <w:r>
        <w:rPr>
          <w:rFonts w:cs="Calibri"/>
        </w:rPr>
        <w:t xml:space="preserve"> </w:t>
      </w:r>
      <w:r w:rsidR="009F6629">
        <w:rPr>
          <w:rFonts w:cs="Calibri"/>
        </w:rPr>
        <w:t>for</w:t>
      </w:r>
      <w:r>
        <w:rPr>
          <w:rFonts w:cs="Calibri"/>
        </w:rPr>
        <w:t xml:space="preserve"> </w:t>
      </w:r>
      <w:r w:rsidR="009F6629">
        <w:rPr>
          <w:rFonts w:cs="Calibri"/>
        </w:rPr>
        <w:t xml:space="preserve">a </w:t>
      </w:r>
      <w:r>
        <w:rPr>
          <w:rFonts w:cs="Calibri"/>
        </w:rPr>
        <w:t>clinical trial</w:t>
      </w:r>
      <w:r w:rsidR="009F6629">
        <w:rPr>
          <w:rFonts w:cs="Calibri"/>
        </w:rPr>
        <w:t>.</w:t>
      </w:r>
      <w:r>
        <w:rPr>
          <w:rFonts w:cs="Calibri"/>
        </w:rPr>
        <w:t xml:space="preserve"> </w:t>
      </w:r>
      <w:r w:rsidR="00BD2A53" w:rsidRPr="00086426">
        <w:rPr>
          <w:rFonts w:cs="Calibri"/>
        </w:rPr>
        <w:t xml:space="preserve">The </w:t>
      </w:r>
      <w:r w:rsidR="006D04F3" w:rsidRPr="00086426">
        <w:rPr>
          <w:rFonts w:cs="Calibri"/>
        </w:rPr>
        <w:t xml:space="preserve">process for </w:t>
      </w:r>
      <w:r w:rsidR="006D04F3">
        <w:rPr>
          <w:rFonts w:cs="Calibri"/>
        </w:rPr>
        <w:t>non</w:t>
      </w:r>
      <w:r w:rsidR="0031721B">
        <w:rPr>
          <w:rFonts w:cs="Calibri"/>
        </w:rPr>
        <w:t>-</w:t>
      </w:r>
      <w:r w:rsidR="006D04F3">
        <w:rPr>
          <w:rFonts w:cs="Calibri"/>
        </w:rPr>
        <w:t xml:space="preserve">IP </w:t>
      </w:r>
      <w:r w:rsidR="0031721B">
        <w:rPr>
          <w:rFonts w:cs="Calibri"/>
        </w:rPr>
        <w:t>(not under study)</w:t>
      </w:r>
      <w:r w:rsidR="006D04F3">
        <w:rPr>
          <w:rFonts w:cs="Calibri"/>
        </w:rPr>
        <w:t xml:space="preserve"> </w:t>
      </w:r>
      <w:r w:rsidR="0031721B">
        <w:rPr>
          <w:rFonts w:cs="Calibri"/>
        </w:rPr>
        <w:t xml:space="preserve">products </w:t>
      </w:r>
      <w:r w:rsidR="006D04F3">
        <w:rPr>
          <w:rFonts w:cs="Calibri"/>
        </w:rPr>
        <w:t>is</w:t>
      </w:r>
      <w:r w:rsidR="00BD2A53">
        <w:rPr>
          <w:rFonts w:cs="Calibri"/>
        </w:rPr>
        <w:t xml:space="preserve"> not </w:t>
      </w:r>
      <w:r w:rsidR="006D04F3">
        <w:rPr>
          <w:rFonts w:cs="Calibri"/>
        </w:rPr>
        <w:t>within</w:t>
      </w:r>
      <w:r w:rsidR="00BD2A53" w:rsidRPr="00086426">
        <w:rPr>
          <w:rFonts w:cs="Calibri"/>
        </w:rPr>
        <w:t xml:space="preserve"> scope of this </w:t>
      </w:r>
      <w:r w:rsidR="005E4A9F">
        <w:rPr>
          <w:rFonts w:cs="Calibri"/>
        </w:rPr>
        <w:t>SPG</w:t>
      </w:r>
      <w:r w:rsidR="0031721B">
        <w:rPr>
          <w:rFonts w:cs="Calibri"/>
        </w:rPr>
        <w:t>.</w:t>
      </w:r>
      <w:r w:rsidR="00927C08">
        <w:rPr>
          <w:rFonts w:cs="Calibri"/>
        </w:rPr>
        <w:t xml:space="preserve"> The responsibilities of UM faculty/staff that act sole</w:t>
      </w:r>
      <w:r w:rsidR="00B36FAC">
        <w:rPr>
          <w:rFonts w:cs="Calibri"/>
        </w:rPr>
        <w:t>l</w:t>
      </w:r>
      <w:r w:rsidR="00927C08">
        <w:rPr>
          <w:rFonts w:cs="Calibri"/>
        </w:rPr>
        <w:t xml:space="preserve">y as the Sponsor of a clinical trial are also out of scope for this </w:t>
      </w:r>
      <w:r w:rsidR="005E4A9F">
        <w:rPr>
          <w:rFonts w:cs="Calibri"/>
        </w:rPr>
        <w:t>SPG</w:t>
      </w:r>
      <w:r w:rsidR="00927C08">
        <w:rPr>
          <w:rFonts w:cs="Calibri"/>
        </w:rPr>
        <w:t xml:space="preserve">. </w:t>
      </w:r>
    </w:p>
    <w:p w14:paraId="23F00D2A" w14:textId="700F38C0" w:rsidR="006C5B1B" w:rsidRDefault="00E85F8C" w:rsidP="00FD2876">
      <w:pPr>
        <w:widowControl w:val="0"/>
        <w:autoSpaceDE w:val="0"/>
        <w:autoSpaceDN w:val="0"/>
        <w:adjustRightInd w:val="0"/>
        <w:spacing w:after="0" w:line="240" w:lineRule="auto"/>
        <w:ind w:right="720" w:firstLine="288"/>
        <w:rPr>
          <w:rFonts w:cs="Calibri"/>
          <w:b/>
        </w:rPr>
      </w:pPr>
      <w:r>
        <w:rPr>
          <w:rFonts w:cs="Calibri"/>
          <w:b/>
        </w:rPr>
        <w:t xml:space="preserve"> </w:t>
      </w:r>
      <w:r w:rsidR="00D46B06" w:rsidRPr="00BD2A53">
        <w:rPr>
          <w:rFonts w:cs="Calibri"/>
          <w:b/>
        </w:rPr>
        <w:t xml:space="preserve">(MANDATORY LANGUAGE) </w:t>
      </w:r>
    </w:p>
    <w:p w14:paraId="2054A45D" w14:textId="77777777" w:rsidR="005A39C8" w:rsidRPr="00BD2A53" w:rsidRDefault="005A39C8" w:rsidP="00FD2876">
      <w:pPr>
        <w:widowControl w:val="0"/>
        <w:autoSpaceDE w:val="0"/>
        <w:autoSpaceDN w:val="0"/>
        <w:adjustRightInd w:val="0"/>
        <w:spacing w:after="0" w:line="240" w:lineRule="auto"/>
        <w:ind w:right="720" w:firstLine="288"/>
        <w:rPr>
          <w:rFonts w:cs="Calibri"/>
        </w:rPr>
      </w:pPr>
    </w:p>
    <w:p w14:paraId="40675CE3" w14:textId="6A324293" w:rsidR="006324A1" w:rsidRDefault="006324A1" w:rsidP="00FD2876">
      <w:pPr>
        <w:widowControl w:val="0"/>
        <w:autoSpaceDE w:val="0"/>
        <w:autoSpaceDN w:val="0"/>
        <w:adjustRightInd w:val="0"/>
        <w:spacing w:after="0" w:line="240" w:lineRule="auto"/>
        <w:ind w:left="360" w:right="720"/>
        <w:rPr>
          <w:rFonts w:cs="Calibri"/>
          <w:i/>
          <w:color w:val="00B0F0"/>
        </w:rPr>
      </w:pPr>
      <w:r>
        <w:rPr>
          <w:rFonts w:cs="Calibri"/>
          <w:i/>
          <w:color w:val="00B0F0"/>
        </w:rPr>
        <w:t>[Optional: Insert any additional details necessary to furth</w:t>
      </w:r>
      <w:r w:rsidR="00317E82">
        <w:rPr>
          <w:rFonts w:cs="Calibri"/>
          <w:i/>
          <w:color w:val="00B0F0"/>
        </w:rPr>
        <w:t>er define the scope of this SOP</w:t>
      </w:r>
      <w:r w:rsidRPr="00CD079E">
        <w:rPr>
          <w:rFonts w:cs="Calibri"/>
          <w:i/>
          <w:color w:val="00B0F0"/>
        </w:rPr>
        <w:t>]</w:t>
      </w:r>
    </w:p>
    <w:p w14:paraId="7E6CAE35" w14:textId="77777777" w:rsidR="005A39C8" w:rsidRPr="00F0276E" w:rsidRDefault="005A39C8" w:rsidP="00FD2876">
      <w:pPr>
        <w:widowControl w:val="0"/>
        <w:autoSpaceDE w:val="0"/>
        <w:autoSpaceDN w:val="0"/>
        <w:adjustRightInd w:val="0"/>
        <w:spacing w:after="0" w:line="240" w:lineRule="auto"/>
        <w:ind w:left="360" w:right="720"/>
        <w:rPr>
          <w:rFonts w:cs="Calibri"/>
          <w:color w:val="00B0F0"/>
        </w:rPr>
      </w:pPr>
    </w:p>
    <w:p w14:paraId="67B1F636" w14:textId="3D62A685" w:rsidR="00695A12" w:rsidRPr="005A39C8" w:rsidRDefault="00695A12" w:rsidP="00FD2876">
      <w:pPr>
        <w:pStyle w:val="ListParagraph"/>
        <w:numPr>
          <w:ilvl w:val="0"/>
          <w:numId w:val="1"/>
        </w:numPr>
        <w:spacing w:after="0" w:line="240" w:lineRule="auto"/>
        <w:ind w:right="720"/>
        <w:rPr>
          <w:b/>
        </w:rPr>
      </w:pPr>
      <w:r w:rsidRPr="005A39C8">
        <w:rPr>
          <w:b/>
        </w:rPr>
        <w:t>POLICY</w:t>
      </w:r>
    </w:p>
    <w:p w14:paraId="109AEB22" w14:textId="77777777" w:rsidR="005A39C8" w:rsidRDefault="005A39C8" w:rsidP="00FD2876">
      <w:pPr>
        <w:widowControl w:val="0"/>
        <w:autoSpaceDE w:val="0"/>
        <w:autoSpaceDN w:val="0"/>
        <w:adjustRightInd w:val="0"/>
        <w:spacing w:after="0" w:line="240" w:lineRule="auto"/>
        <w:ind w:left="360" w:right="720"/>
        <w:rPr>
          <w:rFonts w:cs="Calibri"/>
          <w:highlight w:val="yellow"/>
        </w:rPr>
      </w:pPr>
    </w:p>
    <w:p w14:paraId="53CEC092" w14:textId="77777777" w:rsidR="004F6D08" w:rsidRPr="002F489F" w:rsidRDefault="004F6D08" w:rsidP="004F6D08">
      <w:pPr>
        <w:widowControl w:val="0"/>
        <w:autoSpaceDE w:val="0"/>
        <w:autoSpaceDN w:val="0"/>
        <w:adjustRightInd w:val="0"/>
        <w:spacing w:after="0" w:line="240" w:lineRule="auto"/>
        <w:ind w:left="360" w:right="720"/>
        <w:rPr>
          <w:rFonts w:cs="Calibri"/>
          <w:b/>
        </w:rPr>
      </w:pPr>
      <w:r w:rsidRPr="002F489F">
        <w:rPr>
          <w:rFonts w:cs="Calibri"/>
          <w:b/>
        </w:rPr>
        <w:t>Good Clinical Practice (</w:t>
      </w:r>
      <w:r>
        <w:rPr>
          <w:rFonts w:cs="Calibri"/>
          <w:b/>
        </w:rPr>
        <w:t xml:space="preserve">ICH </w:t>
      </w:r>
      <w:r w:rsidRPr="002F489F">
        <w:rPr>
          <w:rFonts w:cs="Calibri"/>
          <w:b/>
        </w:rPr>
        <w:t>GCP)</w:t>
      </w:r>
    </w:p>
    <w:p w14:paraId="56B60AD4" w14:textId="77777777" w:rsidR="0011762C" w:rsidRDefault="0011762C" w:rsidP="00FD2876">
      <w:pPr>
        <w:widowControl w:val="0"/>
        <w:autoSpaceDE w:val="0"/>
        <w:autoSpaceDN w:val="0"/>
        <w:adjustRightInd w:val="0"/>
        <w:spacing w:after="0" w:line="240" w:lineRule="auto"/>
        <w:ind w:left="360" w:right="720"/>
        <w:rPr>
          <w:rFonts w:cs="Calibri"/>
        </w:rPr>
      </w:pPr>
    </w:p>
    <w:p w14:paraId="51CD255C" w14:textId="5945164D" w:rsidR="005A39C8" w:rsidRDefault="00086246" w:rsidP="00FD2876">
      <w:pPr>
        <w:widowControl w:val="0"/>
        <w:autoSpaceDE w:val="0"/>
        <w:autoSpaceDN w:val="0"/>
        <w:adjustRightInd w:val="0"/>
        <w:spacing w:after="0" w:line="240" w:lineRule="auto"/>
        <w:ind w:left="360" w:right="720"/>
        <w:rPr>
          <w:rFonts w:cs="Calibri"/>
        </w:rPr>
      </w:pPr>
      <w:r>
        <w:rPr>
          <w:rFonts w:cs="Calibri"/>
        </w:rPr>
        <w:t>T</w:t>
      </w:r>
      <w:r w:rsidRPr="0093243E">
        <w:rPr>
          <w:rFonts w:cs="Calibri"/>
        </w:rPr>
        <w:t xml:space="preserve">his Standard </w:t>
      </w:r>
      <w:r>
        <w:rPr>
          <w:rFonts w:cs="Calibri"/>
        </w:rPr>
        <w:t>Practice Guideline</w:t>
      </w:r>
      <w:r w:rsidRPr="0093243E">
        <w:rPr>
          <w:rFonts w:cs="Calibri"/>
        </w:rPr>
        <w:t xml:space="preserve"> </w:t>
      </w:r>
      <w:r>
        <w:rPr>
          <w:rFonts w:cs="Calibri"/>
        </w:rPr>
        <w:t>aligns</w:t>
      </w:r>
      <w:r w:rsidRPr="0093243E">
        <w:rPr>
          <w:rFonts w:cs="Calibri"/>
        </w:rPr>
        <w:t xml:space="preserve"> </w:t>
      </w:r>
      <w:r>
        <w:rPr>
          <w:rFonts w:cs="Calibri"/>
        </w:rPr>
        <w:t xml:space="preserve">with </w:t>
      </w:r>
      <w:r w:rsidRPr="0093243E">
        <w:rPr>
          <w:rFonts w:cs="Calibri"/>
        </w:rPr>
        <w:t xml:space="preserve">the Good Clinical Practice </w:t>
      </w:r>
      <w:r>
        <w:rPr>
          <w:rFonts w:cs="Calibri"/>
        </w:rPr>
        <w:t xml:space="preserve">(ICH GCP) </w:t>
      </w:r>
      <w:r w:rsidRPr="0093243E">
        <w:rPr>
          <w:rFonts w:cs="Calibri"/>
        </w:rPr>
        <w:t>guidelines established by the International Co</w:t>
      </w:r>
      <w:r w:rsidR="00776F31">
        <w:rPr>
          <w:rFonts w:cs="Calibri"/>
        </w:rPr>
        <w:t>uncil</w:t>
      </w:r>
      <w:r w:rsidRPr="0093243E">
        <w:rPr>
          <w:rFonts w:cs="Calibri"/>
        </w:rPr>
        <w:t xml:space="preserve"> on</w:t>
      </w:r>
      <w:r>
        <w:rPr>
          <w:rFonts w:cs="Calibri"/>
        </w:rPr>
        <w:t xml:space="preserve"> </w:t>
      </w:r>
      <w:r w:rsidRPr="0093243E">
        <w:rPr>
          <w:rFonts w:cs="Calibri"/>
        </w:rPr>
        <w:t>Harmonization (ICH)</w:t>
      </w:r>
      <w:r>
        <w:rPr>
          <w:rFonts w:cs="Calibri"/>
        </w:rPr>
        <w:t xml:space="preserve">. </w:t>
      </w:r>
    </w:p>
    <w:p w14:paraId="223B237D" w14:textId="77777777" w:rsidR="005A39C8" w:rsidRPr="000E6DB4" w:rsidRDefault="005A39C8" w:rsidP="00FD2876">
      <w:pPr>
        <w:widowControl w:val="0"/>
        <w:autoSpaceDE w:val="0"/>
        <w:autoSpaceDN w:val="0"/>
        <w:adjustRightInd w:val="0"/>
        <w:spacing w:after="0" w:line="240" w:lineRule="auto"/>
        <w:ind w:left="360" w:right="720"/>
        <w:rPr>
          <w:rFonts w:cs="Calibri"/>
          <w:highlight w:val="yellow"/>
        </w:rPr>
      </w:pPr>
    </w:p>
    <w:p w14:paraId="1158A6DE" w14:textId="423ADC60" w:rsidR="004075C8" w:rsidRDefault="00800CD7" w:rsidP="003169EF">
      <w:pPr>
        <w:widowControl w:val="0"/>
        <w:autoSpaceDE w:val="0"/>
        <w:autoSpaceDN w:val="0"/>
        <w:adjustRightInd w:val="0"/>
        <w:spacing w:after="0" w:line="240" w:lineRule="auto"/>
        <w:ind w:left="360" w:right="720"/>
        <w:rPr>
          <w:rFonts w:cs="Courier New"/>
          <w:b/>
        </w:rPr>
      </w:pPr>
      <w:r w:rsidRPr="003E74FB">
        <w:rPr>
          <w:rFonts w:cs="Courier New"/>
          <w:b/>
        </w:rPr>
        <w:t>Principal Investigator</w:t>
      </w:r>
      <w:r w:rsidR="00520212">
        <w:rPr>
          <w:rFonts w:cs="Courier New"/>
          <w:b/>
        </w:rPr>
        <w:t xml:space="preserve"> (PI)</w:t>
      </w:r>
      <w:r w:rsidR="004075C8" w:rsidRPr="003E74FB">
        <w:rPr>
          <w:rFonts w:cs="Courier New"/>
          <w:b/>
        </w:rPr>
        <w:t>:</w:t>
      </w:r>
    </w:p>
    <w:p w14:paraId="4D4322A9" w14:textId="490F7652" w:rsidR="00E9717B" w:rsidRPr="003E74FB" w:rsidRDefault="00F0276E" w:rsidP="003169EF">
      <w:pPr>
        <w:widowControl w:val="0"/>
        <w:autoSpaceDE w:val="0"/>
        <w:autoSpaceDN w:val="0"/>
        <w:adjustRightInd w:val="0"/>
        <w:spacing w:after="0" w:line="240" w:lineRule="auto"/>
        <w:ind w:left="360" w:right="720"/>
        <w:rPr>
          <w:rFonts w:cs="Courier New"/>
          <w:b/>
        </w:rPr>
      </w:pPr>
      <w:r>
        <w:rPr>
          <w:rFonts w:cs="Courier New"/>
          <w:b/>
        </w:rPr>
        <w:t>4.6 Investigational Product</w:t>
      </w:r>
      <w:r w:rsidR="00E9717B" w:rsidRPr="003E74FB">
        <w:rPr>
          <w:rFonts w:cs="Courier New"/>
          <w:b/>
        </w:rPr>
        <w:t xml:space="preserve">(s) </w:t>
      </w:r>
    </w:p>
    <w:p w14:paraId="289DEABD" w14:textId="7EDBFA56" w:rsidR="00E9717B" w:rsidRDefault="000E6DB4">
      <w:pPr>
        <w:widowControl w:val="0"/>
        <w:autoSpaceDE w:val="0"/>
        <w:autoSpaceDN w:val="0"/>
        <w:adjustRightInd w:val="0"/>
        <w:spacing w:after="0" w:line="240" w:lineRule="auto"/>
        <w:ind w:left="360" w:right="720"/>
        <w:rPr>
          <w:rFonts w:cs="Courier New"/>
        </w:rPr>
      </w:pPr>
      <w:r w:rsidRPr="003E74FB">
        <w:rPr>
          <w:rFonts w:cs="Courier New"/>
        </w:rPr>
        <w:t>Section 4.6 of the ICH GCP guidelines focus</w:t>
      </w:r>
      <w:r w:rsidR="00884F57" w:rsidRPr="003E74FB">
        <w:rPr>
          <w:rFonts w:cs="Courier New"/>
        </w:rPr>
        <w:t>es</w:t>
      </w:r>
      <w:r w:rsidRPr="003E74FB">
        <w:rPr>
          <w:rFonts w:cs="Courier New"/>
        </w:rPr>
        <w:t xml:space="preserve"> on the Investigational Product(s), including </w:t>
      </w:r>
    </w:p>
    <w:p w14:paraId="74A0E3EA" w14:textId="68E4B1AA" w:rsidR="00591E1F" w:rsidRDefault="000E6DB4" w:rsidP="003169EF">
      <w:pPr>
        <w:widowControl w:val="0"/>
        <w:autoSpaceDE w:val="0"/>
        <w:autoSpaceDN w:val="0"/>
        <w:adjustRightInd w:val="0"/>
        <w:spacing w:after="0" w:line="240" w:lineRule="auto"/>
        <w:ind w:left="360" w:right="720"/>
        <w:rPr>
          <w:rFonts w:cs="Courier New"/>
          <w:i/>
        </w:rPr>
      </w:pPr>
      <w:r w:rsidRPr="003E74FB">
        <w:rPr>
          <w:rFonts w:cs="Courier New"/>
        </w:rPr>
        <w:t xml:space="preserve">4.6.1 </w:t>
      </w:r>
      <w:r w:rsidR="00063692">
        <w:rPr>
          <w:rFonts w:cs="Courier New"/>
        </w:rPr>
        <w:t xml:space="preserve">which states </w:t>
      </w:r>
      <w:r w:rsidRPr="003E74FB">
        <w:rPr>
          <w:rFonts w:cs="Courier New"/>
          <w:i/>
        </w:rPr>
        <w:t>responsibility for investigational product(s) accountability at the trial site(s) rests with the investigator/institution.</w:t>
      </w:r>
    </w:p>
    <w:p w14:paraId="03124204" w14:textId="10C5F675" w:rsidR="000E6DB4" w:rsidRDefault="000E6DB4" w:rsidP="003E74FB">
      <w:pPr>
        <w:widowControl w:val="0"/>
        <w:autoSpaceDE w:val="0"/>
        <w:autoSpaceDN w:val="0"/>
        <w:adjustRightInd w:val="0"/>
        <w:spacing w:after="0" w:line="240" w:lineRule="auto"/>
        <w:ind w:left="360" w:right="720"/>
        <w:rPr>
          <w:rFonts w:cs="Calibri"/>
        </w:rPr>
      </w:pPr>
      <w:r w:rsidRPr="003E74FB">
        <w:rPr>
          <w:rFonts w:cs="Calibri"/>
        </w:rPr>
        <w:t>Please see additional regulations in Section 4.6, including</w:t>
      </w:r>
      <w:r>
        <w:rPr>
          <w:rFonts w:cs="Calibri"/>
          <w:b/>
        </w:rPr>
        <w:t xml:space="preserve"> </w:t>
      </w:r>
      <w:r w:rsidRPr="00802AEE">
        <w:rPr>
          <w:rFonts w:cs="Calibri"/>
        </w:rPr>
        <w:t>Sections 4.6</w:t>
      </w:r>
      <w:r w:rsidR="00E9717B">
        <w:rPr>
          <w:rFonts w:cs="Calibri"/>
        </w:rPr>
        <w:t xml:space="preserve"> -</w:t>
      </w:r>
      <w:r w:rsidRPr="00802AEE">
        <w:rPr>
          <w:rFonts w:cs="Calibri"/>
        </w:rPr>
        <w:t xml:space="preserve"> 4.6.6.</w:t>
      </w:r>
    </w:p>
    <w:p w14:paraId="46916CA9" w14:textId="77777777" w:rsidR="004B6F21" w:rsidRDefault="004B6F21">
      <w:pPr>
        <w:autoSpaceDE w:val="0"/>
        <w:autoSpaceDN w:val="0"/>
        <w:adjustRightInd w:val="0"/>
        <w:spacing w:after="0" w:line="240" w:lineRule="auto"/>
        <w:ind w:firstLine="360"/>
        <w:rPr>
          <w:rFonts w:cs="Calibri"/>
          <w:b/>
        </w:rPr>
      </w:pPr>
    </w:p>
    <w:p w14:paraId="131D985E" w14:textId="33971871" w:rsidR="00E9717B" w:rsidRDefault="00E9717B">
      <w:pPr>
        <w:autoSpaceDE w:val="0"/>
        <w:autoSpaceDN w:val="0"/>
        <w:adjustRightInd w:val="0"/>
        <w:spacing w:after="0" w:line="240" w:lineRule="auto"/>
        <w:ind w:firstLine="360"/>
        <w:rPr>
          <w:rFonts w:cs="Calibri"/>
          <w:b/>
        </w:rPr>
      </w:pPr>
      <w:r w:rsidRPr="00E9717B">
        <w:rPr>
          <w:rFonts w:cs="Calibri"/>
          <w:b/>
        </w:rPr>
        <w:t>4.7 Randomization Procedures and Unblinding</w:t>
      </w:r>
    </w:p>
    <w:p w14:paraId="698507FE" w14:textId="77777777" w:rsidR="00AA5BE9" w:rsidRPr="004F6D08" w:rsidRDefault="00AA5BE9" w:rsidP="00AA5BE9">
      <w:pPr>
        <w:autoSpaceDE w:val="0"/>
        <w:autoSpaceDN w:val="0"/>
        <w:adjustRightInd w:val="0"/>
        <w:spacing w:after="0" w:line="240" w:lineRule="auto"/>
        <w:ind w:firstLine="360"/>
        <w:rPr>
          <w:rFonts w:cs="Calibri"/>
          <w:i/>
        </w:rPr>
      </w:pPr>
      <w:r w:rsidRPr="004F6D08">
        <w:rPr>
          <w:rFonts w:cs="Calibri"/>
          <w:i/>
        </w:rPr>
        <w:lastRenderedPageBreak/>
        <w:t>The investigator should follow the trial's randomization procedures, if any, and should</w:t>
      </w:r>
    </w:p>
    <w:p w14:paraId="59560CBE" w14:textId="2B2ED5AA" w:rsidR="00AA5BE9" w:rsidRPr="004F6D08" w:rsidRDefault="00AA5BE9" w:rsidP="00AA5BE9">
      <w:pPr>
        <w:autoSpaceDE w:val="0"/>
        <w:autoSpaceDN w:val="0"/>
        <w:adjustRightInd w:val="0"/>
        <w:spacing w:after="0" w:line="240" w:lineRule="auto"/>
        <w:ind w:firstLine="360"/>
        <w:rPr>
          <w:rFonts w:cs="Calibri"/>
          <w:i/>
        </w:rPr>
      </w:pPr>
      <w:r w:rsidRPr="004F6D08">
        <w:rPr>
          <w:rFonts w:cs="Calibri"/>
          <w:i/>
        </w:rPr>
        <w:t>ensure that the code is broken only in accordance with the protocol. If the trial is blinded,</w:t>
      </w:r>
    </w:p>
    <w:p w14:paraId="5533B2D5" w14:textId="77777777" w:rsidR="00AA5BE9" w:rsidRPr="004F6D08" w:rsidRDefault="00AA5BE9" w:rsidP="00AA5BE9">
      <w:pPr>
        <w:autoSpaceDE w:val="0"/>
        <w:autoSpaceDN w:val="0"/>
        <w:adjustRightInd w:val="0"/>
        <w:spacing w:after="0" w:line="240" w:lineRule="auto"/>
        <w:ind w:firstLine="360"/>
        <w:rPr>
          <w:rFonts w:cs="Calibri"/>
          <w:i/>
        </w:rPr>
      </w:pPr>
      <w:r w:rsidRPr="004F6D08">
        <w:rPr>
          <w:rFonts w:cs="Calibri"/>
          <w:i/>
        </w:rPr>
        <w:t>the investigator should promptly document and explain to the sponsor any premature</w:t>
      </w:r>
    </w:p>
    <w:p w14:paraId="3B607F1A" w14:textId="77777777" w:rsidR="00AA5BE9" w:rsidRPr="004F6D08" w:rsidRDefault="00AA5BE9" w:rsidP="00AA5BE9">
      <w:pPr>
        <w:autoSpaceDE w:val="0"/>
        <w:autoSpaceDN w:val="0"/>
        <w:adjustRightInd w:val="0"/>
        <w:spacing w:after="0" w:line="240" w:lineRule="auto"/>
        <w:ind w:firstLine="360"/>
        <w:rPr>
          <w:rFonts w:cs="Calibri"/>
          <w:i/>
        </w:rPr>
      </w:pPr>
      <w:r w:rsidRPr="004F6D08">
        <w:rPr>
          <w:rFonts w:cs="Calibri"/>
          <w:i/>
        </w:rPr>
        <w:t>unblinding (e.g., accidental unblinding, unblinding due to a serious adverse event) of the</w:t>
      </w:r>
    </w:p>
    <w:p w14:paraId="314E765F" w14:textId="7FF8ED98" w:rsidR="00AA5BE9" w:rsidRPr="004F6D08" w:rsidRDefault="00AA5BE9" w:rsidP="00AA5BE9">
      <w:pPr>
        <w:autoSpaceDE w:val="0"/>
        <w:autoSpaceDN w:val="0"/>
        <w:adjustRightInd w:val="0"/>
        <w:spacing w:after="0" w:line="240" w:lineRule="auto"/>
        <w:ind w:firstLine="360"/>
        <w:rPr>
          <w:rFonts w:cs="Calibri"/>
          <w:i/>
        </w:rPr>
      </w:pPr>
      <w:r w:rsidRPr="004F6D08">
        <w:rPr>
          <w:rFonts w:cs="Calibri"/>
          <w:i/>
        </w:rPr>
        <w:t>investigational product(s).</w:t>
      </w:r>
    </w:p>
    <w:p w14:paraId="3F2FBF47" w14:textId="77777777" w:rsidR="00FD2876" w:rsidRPr="006203F4" w:rsidRDefault="00FD2876" w:rsidP="00051969">
      <w:pPr>
        <w:autoSpaceDE w:val="0"/>
        <w:autoSpaceDN w:val="0"/>
        <w:adjustRightInd w:val="0"/>
        <w:spacing w:after="0" w:line="240" w:lineRule="auto"/>
        <w:ind w:firstLine="360"/>
        <w:rPr>
          <w:rFonts w:cs="Courier New"/>
        </w:rPr>
      </w:pPr>
    </w:p>
    <w:p w14:paraId="20A5E26F" w14:textId="27D998A8" w:rsidR="004075C8" w:rsidRDefault="00D4391F" w:rsidP="00051969">
      <w:pPr>
        <w:autoSpaceDE w:val="0"/>
        <w:autoSpaceDN w:val="0"/>
        <w:adjustRightInd w:val="0"/>
        <w:spacing w:after="0" w:line="240" w:lineRule="auto"/>
        <w:ind w:firstLine="360"/>
        <w:rPr>
          <w:rFonts w:cs="Courier New"/>
          <w:b/>
        </w:rPr>
      </w:pPr>
      <w:r w:rsidRPr="003E74FB">
        <w:rPr>
          <w:rFonts w:cs="Courier New"/>
          <w:b/>
        </w:rPr>
        <w:t>Sponsor</w:t>
      </w:r>
      <w:r w:rsidR="003C7798">
        <w:rPr>
          <w:rFonts w:cs="Courier New"/>
          <w:b/>
        </w:rPr>
        <w:t>-</w:t>
      </w:r>
      <w:r w:rsidR="00800CD7" w:rsidRPr="003E74FB">
        <w:rPr>
          <w:rFonts w:cs="Courier New"/>
          <w:b/>
        </w:rPr>
        <w:t>Investigator</w:t>
      </w:r>
      <w:r w:rsidR="00520212">
        <w:rPr>
          <w:rFonts w:cs="Courier New"/>
          <w:b/>
        </w:rPr>
        <w:t xml:space="preserve"> (SI)</w:t>
      </w:r>
      <w:r w:rsidR="004075C8" w:rsidRPr="003E74FB">
        <w:rPr>
          <w:rFonts w:cs="Courier New"/>
          <w:b/>
        </w:rPr>
        <w:t>:</w:t>
      </w:r>
    </w:p>
    <w:p w14:paraId="66FA9446" w14:textId="1577B205" w:rsidR="00051969" w:rsidRPr="004F2CBB" w:rsidRDefault="004F2CBB" w:rsidP="00051969">
      <w:pPr>
        <w:autoSpaceDE w:val="0"/>
        <w:autoSpaceDN w:val="0"/>
        <w:adjustRightInd w:val="0"/>
        <w:spacing w:after="0" w:line="240" w:lineRule="auto"/>
        <w:ind w:firstLine="360"/>
        <w:rPr>
          <w:rFonts w:cstheme="minorHAnsi"/>
          <w:b/>
        </w:rPr>
      </w:pPr>
      <w:r w:rsidRPr="004F2CBB">
        <w:rPr>
          <w:rFonts w:cstheme="minorHAnsi"/>
          <w:b/>
        </w:rPr>
        <w:t>5.12 Information on Investigational Product(s)</w:t>
      </w:r>
    </w:p>
    <w:p w14:paraId="0D288D1D" w14:textId="0790B155" w:rsidR="004F2CBB" w:rsidRPr="004F2CBB" w:rsidRDefault="004F2CBB" w:rsidP="00051969">
      <w:pPr>
        <w:autoSpaceDE w:val="0"/>
        <w:autoSpaceDN w:val="0"/>
        <w:adjustRightInd w:val="0"/>
        <w:spacing w:after="0" w:line="240" w:lineRule="auto"/>
        <w:ind w:firstLine="360"/>
        <w:rPr>
          <w:rFonts w:cstheme="minorHAnsi"/>
          <w:b/>
        </w:rPr>
      </w:pPr>
      <w:r w:rsidRPr="004F2CBB">
        <w:rPr>
          <w:rFonts w:cstheme="minorHAnsi"/>
          <w:b/>
        </w:rPr>
        <w:t xml:space="preserve">5.13 </w:t>
      </w:r>
      <w:r w:rsidR="00661597" w:rsidRPr="004F2CBB">
        <w:rPr>
          <w:rFonts w:cstheme="minorHAnsi"/>
          <w:b/>
        </w:rPr>
        <w:t>Manufacturing</w:t>
      </w:r>
      <w:r w:rsidRPr="004F2CBB">
        <w:rPr>
          <w:rFonts w:cstheme="minorHAnsi"/>
          <w:b/>
        </w:rPr>
        <w:t>, Packaging, Labeling, and Coding Investigational Product(s)</w:t>
      </w:r>
    </w:p>
    <w:p w14:paraId="64D60FEC" w14:textId="2BF52F34" w:rsidR="00426B8A" w:rsidRDefault="004F2CBB" w:rsidP="004F2CBB">
      <w:pPr>
        <w:autoSpaceDE w:val="0"/>
        <w:autoSpaceDN w:val="0"/>
        <w:adjustRightInd w:val="0"/>
        <w:spacing w:after="0" w:line="240" w:lineRule="auto"/>
        <w:ind w:firstLine="360"/>
        <w:rPr>
          <w:rFonts w:cs="Times New Roman"/>
          <w:b/>
        </w:rPr>
      </w:pPr>
      <w:r w:rsidRPr="004F2CBB">
        <w:rPr>
          <w:rFonts w:cs="Times New Roman"/>
          <w:b/>
        </w:rPr>
        <w:t>5.14 Supplying and Handling Investigational Products(s)</w:t>
      </w:r>
    </w:p>
    <w:p w14:paraId="451C5EC1" w14:textId="77777777" w:rsidR="004F2CBB" w:rsidRDefault="004F2CBB" w:rsidP="00FD2876">
      <w:pPr>
        <w:spacing w:after="0" w:line="240" w:lineRule="auto"/>
        <w:ind w:left="360" w:right="-20"/>
        <w:rPr>
          <w:rFonts w:cs="Calibri"/>
        </w:rPr>
      </w:pPr>
    </w:p>
    <w:p w14:paraId="4255FB6D" w14:textId="168E33E1" w:rsidR="00426B8A" w:rsidRDefault="00426B8A" w:rsidP="00FD2876">
      <w:pPr>
        <w:spacing w:after="0" w:line="240" w:lineRule="auto"/>
        <w:ind w:left="360" w:right="-20"/>
        <w:rPr>
          <w:rFonts w:cs="Calibri"/>
        </w:rPr>
      </w:pPr>
      <w:r w:rsidRPr="004F6D08">
        <w:rPr>
          <w:rFonts w:cs="Calibri"/>
          <w:b/>
        </w:rPr>
        <w:t>FDA Regulation</w:t>
      </w:r>
      <w:r w:rsidR="00D83938" w:rsidRPr="004F6D08">
        <w:rPr>
          <w:rFonts w:cs="Calibri"/>
          <w:b/>
        </w:rPr>
        <w:t>(s)</w:t>
      </w:r>
      <w:r w:rsidR="00D83938">
        <w:rPr>
          <w:rFonts w:cs="Calibri"/>
        </w:rPr>
        <w:t xml:space="preserve"> </w:t>
      </w:r>
      <w:r w:rsidR="00F655D4">
        <w:rPr>
          <w:rFonts w:cs="Calibri"/>
        </w:rPr>
        <w:t>(</w:t>
      </w:r>
      <w:r w:rsidR="00D83938">
        <w:rPr>
          <w:rFonts w:cs="Calibri"/>
        </w:rPr>
        <w:t>if applicable</w:t>
      </w:r>
      <w:r w:rsidR="00F655D4">
        <w:rPr>
          <w:rFonts w:cs="Calibri"/>
        </w:rPr>
        <w:t>)</w:t>
      </w:r>
      <w:r>
        <w:rPr>
          <w:rFonts w:cs="Calibri"/>
        </w:rPr>
        <w:tab/>
      </w:r>
    </w:p>
    <w:p w14:paraId="30D88F45" w14:textId="014B1A7A" w:rsidR="00120501" w:rsidRPr="006203F4" w:rsidRDefault="00120501" w:rsidP="00FD2876">
      <w:pPr>
        <w:widowControl w:val="0"/>
        <w:autoSpaceDE w:val="0"/>
        <w:autoSpaceDN w:val="0"/>
        <w:adjustRightInd w:val="0"/>
        <w:spacing w:after="0" w:line="240" w:lineRule="auto"/>
        <w:ind w:left="360" w:right="720"/>
        <w:rPr>
          <w:rFonts w:cs="Calibri"/>
        </w:rPr>
      </w:pPr>
    </w:p>
    <w:p w14:paraId="7B29D9DA" w14:textId="03B9C59E" w:rsidR="00A37DE9" w:rsidRDefault="00912CAE" w:rsidP="00FD2876">
      <w:pPr>
        <w:spacing w:after="0" w:line="240" w:lineRule="auto"/>
        <w:ind w:firstLine="360"/>
        <w:rPr>
          <w:rFonts w:cs="Courier New"/>
          <w:b/>
        </w:rPr>
      </w:pPr>
      <w:r w:rsidRPr="003E74FB">
        <w:rPr>
          <w:rFonts w:cs="Courier New"/>
          <w:b/>
        </w:rPr>
        <w:t>Principal Investigator</w:t>
      </w:r>
      <w:r w:rsidR="00B73556">
        <w:rPr>
          <w:rFonts w:cs="Courier New"/>
          <w:b/>
        </w:rPr>
        <w:t xml:space="preserve"> (PI)</w:t>
      </w:r>
      <w:r w:rsidR="004075C8" w:rsidRPr="003E74FB">
        <w:rPr>
          <w:rFonts w:cs="Courier New"/>
          <w:b/>
        </w:rPr>
        <w:t>:</w:t>
      </w:r>
      <w:r w:rsidRPr="003E74FB">
        <w:rPr>
          <w:rFonts w:cs="Courier New"/>
          <w:b/>
        </w:rPr>
        <w:t xml:space="preserve"> </w:t>
      </w:r>
    </w:p>
    <w:p w14:paraId="071F408F" w14:textId="56BDE75F" w:rsidR="00C60767" w:rsidRDefault="00C60767" w:rsidP="00FD2876">
      <w:pPr>
        <w:spacing w:after="0" w:line="240" w:lineRule="auto"/>
        <w:ind w:firstLine="360"/>
        <w:rPr>
          <w:b/>
        </w:rPr>
      </w:pPr>
      <w:r>
        <w:rPr>
          <w:b/>
        </w:rPr>
        <w:t>Per 21CFR part 312.6</w:t>
      </w:r>
      <w:r w:rsidRPr="004F6D08">
        <w:rPr>
          <w:b/>
        </w:rPr>
        <w:t xml:space="preserve"> </w:t>
      </w:r>
      <w:r>
        <w:rPr>
          <w:b/>
        </w:rPr>
        <w:t xml:space="preserve">- </w:t>
      </w:r>
      <w:r w:rsidRPr="00C60767">
        <w:rPr>
          <w:b/>
        </w:rPr>
        <w:t>Labeling of an investigational new drug</w:t>
      </w:r>
    </w:p>
    <w:p w14:paraId="54CD2A10" w14:textId="1A7124A6" w:rsidR="00C60767" w:rsidRDefault="0090065E" w:rsidP="00C60767">
      <w:pPr>
        <w:spacing w:after="0" w:line="240" w:lineRule="auto"/>
        <w:ind w:firstLine="360"/>
        <w:rPr>
          <w:rFonts w:cs="Courier New"/>
          <w:b/>
        </w:rPr>
      </w:pPr>
      <w:r>
        <w:rPr>
          <w:rFonts w:cs="Courier New"/>
          <w:b/>
        </w:rPr>
        <w:t>Per 21CFR part 312.7 -</w:t>
      </w:r>
      <w:r w:rsidR="00C60767">
        <w:rPr>
          <w:rFonts w:cs="Courier New"/>
          <w:b/>
        </w:rPr>
        <w:t xml:space="preserve"> Promotion of investigational drugs</w:t>
      </w:r>
    </w:p>
    <w:p w14:paraId="5DD37FB4" w14:textId="4DAF560F" w:rsidR="00C60767" w:rsidRDefault="0090065E" w:rsidP="00C60767">
      <w:pPr>
        <w:spacing w:after="0" w:line="240" w:lineRule="auto"/>
        <w:ind w:firstLine="360"/>
        <w:rPr>
          <w:rFonts w:cs="Courier New"/>
          <w:b/>
        </w:rPr>
      </w:pPr>
      <w:r>
        <w:rPr>
          <w:rFonts w:cs="Courier New"/>
          <w:b/>
        </w:rPr>
        <w:t>Per 21CFR part 312.8 -</w:t>
      </w:r>
      <w:r w:rsidR="00C60767">
        <w:rPr>
          <w:rFonts w:cs="Courier New"/>
          <w:b/>
        </w:rPr>
        <w:t xml:space="preserve"> Charging for investigational drugs under an IND</w:t>
      </w:r>
    </w:p>
    <w:p w14:paraId="0443E3C4" w14:textId="77777777" w:rsidR="00086246" w:rsidRDefault="00086246" w:rsidP="00086246">
      <w:pPr>
        <w:widowControl w:val="0"/>
        <w:autoSpaceDE w:val="0"/>
        <w:autoSpaceDN w:val="0"/>
        <w:adjustRightInd w:val="0"/>
        <w:spacing w:after="0" w:line="240" w:lineRule="auto"/>
        <w:ind w:left="360" w:right="720"/>
        <w:rPr>
          <w:b/>
        </w:rPr>
      </w:pPr>
      <w:r w:rsidRPr="00F025DD">
        <w:rPr>
          <w:b/>
        </w:rPr>
        <w:t>Per 21CFR part 312.59</w:t>
      </w:r>
      <w:r w:rsidRPr="004F6D08">
        <w:rPr>
          <w:b/>
        </w:rPr>
        <w:t xml:space="preserve"> </w:t>
      </w:r>
      <w:r>
        <w:rPr>
          <w:b/>
        </w:rPr>
        <w:t xml:space="preserve">- </w:t>
      </w:r>
      <w:r w:rsidRPr="004F6D08">
        <w:rPr>
          <w:b/>
        </w:rPr>
        <w:t>Disposition of unused supply of investigational drug</w:t>
      </w:r>
    </w:p>
    <w:p w14:paraId="76B35287" w14:textId="36B67407" w:rsidR="004D0CC1" w:rsidRDefault="0090065E" w:rsidP="004D0CC1">
      <w:pPr>
        <w:widowControl w:val="0"/>
        <w:autoSpaceDE w:val="0"/>
        <w:autoSpaceDN w:val="0"/>
        <w:adjustRightInd w:val="0"/>
        <w:spacing w:after="0" w:line="240" w:lineRule="auto"/>
        <w:ind w:left="360" w:right="720"/>
        <w:rPr>
          <w:b/>
        </w:rPr>
      </w:pPr>
      <w:r>
        <w:rPr>
          <w:b/>
        </w:rPr>
        <w:t>Per 21CFR part 312.60 -</w:t>
      </w:r>
      <w:r w:rsidR="004D0CC1">
        <w:rPr>
          <w:b/>
        </w:rPr>
        <w:t xml:space="preserve"> General responsibilities of the investigators</w:t>
      </w:r>
    </w:p>
    <w:p w14:paraId="332ECDE7" w14:textId="1005800F" w:rsidR="00912CAE" w:rsidRPr="00F025DD" w:rsidRDefault="00912CAE" w:rsidP="00FD2876">
      <w:pPr>
        <w:spacing w:after="0" w:line="240" w:lineRule="auto"/>
        <w:ind w:firstLine="360"/>
        <w:rPr>
          <w:rFonts w:cs="Courier New"/>
          <w:b/>
        </w:rPr>
      </w:pPr>
      <w:r w:rsidRPr="00F025DD">
        <w:rPr>
          <w:rFonts w:cs="Courier New"/>
          <w:b/>
        </w:rPr>
        <w:t xml:space="preserve">Per 21CFR part 312.61 </w:t>
      </w:r>
      <w:r w:rsidR="00292AD5">
        <w:rPr>
          <w:rFonts w:cs="Courier New"/>
          <w:b/>
        </w:rPr>
        <w:t xml:space="preserve">- </w:t>
      </w:r>
      <w:r w:rsidRPr="004F6D08">
        <w:rPr>
          <w:rFonts w:cs="Courier New"/>
          <w:b/>
        </w:rPr>
        <w:t>Control of the investigational drug</w:t>
      </w:r>
    </w:p>
    <w:p w14:paraId="44FA2BCF" w14:textId="3E0E8C07" w:rsidR="00912CAE" w:rsidRPr="00F025DD" w:rsidRDefault="00912CAE" w:rsidP="00FD2876">
      <w:pPr>
        <w:widowControl w:val="0"/>
        <w:autoSpaceDE w:val="0"/>
        <w:autoSpaceDN w:val="0"/>
        <w:adjustRightInd w:val="0"/>
        <w:spacing w:after="0" w:line="240" w:lineRule="auto"/>
        <w:ind w:left="360" w:right="720"/>
        <w:rPr>
          <w:rFonts w:cs="Courier New"/>
          <w:b/>
        </w:rPr>
      </w:pPr>
      <w:r w:rsidRPr="0074681D">
        <w:rPr>
          <w:rFonts w:cs="Courier New"/>
          <w:b/>
        </w:rPr>
        <w:t xml:space="preserve">Per 21CRF part 312.62 </w:t>
      </w:r>
      <w:r w:rsidR="00292AD5">
        <w:rPr>
          <w:rFonts w:cs="Courier New"/>
          <w:b/>
        </w:rPr>
        <w:t xml:space="preserve">- </w:t>
      </w:r>
      <w:r w:rsidRPr="004F6D08">
        <w:rPr>
          <w:rFonts w:cs="Courier New"/>
          <w:b/>
        </w:rPr>
        <w:t>Investigator recordkeeping and record retention</w:t>
      </w:r>
    </w:p>
    <w:p w14:paraId="464DD860" w14:textId="4F1EBFF2" w:rsidR="00912CAE" w:rsidRDefault="00912CAE" w:rsidP="00FD2876">
      <w:pPr>
        <w:widowControl w:val="0"/>
        <w:autoSpaceDE w:val="0"/>
        <w:autoSpaceDN w:val="0"/>
        <w:adjustRightInd w:val="0"/>
        <w:spacing w:after="0" w:line="240" w:lineRule="auto"/>
        <w:ind w:left="360" w:right="720"/>
        <w:rPr>
          <w:rFonts w:cs="Courier New"/>
          <w:b/>
        </w:rPr>
      </w:pPr>
      <w:r w:rsidRPr="0074681D">
        <w:rPr>
          <w:rFonts w:cs="Courier New"/>
          <w:b/>
        </w:rPr>
        <w:t>Per 21</w:t>
      </w:r>
      <w:r w:rsidRPr="00746149">
        <w:rPr>
          <w:rFonts w:cs="Courier New"/>
          <w:b/>
        </w:rPr>
        <w:t xml:space="preserve">CFR part 312.69 </w:t>
      </w:r>
      <w:r w:rsidR="00292AD5">
        <w:rPr>
          <w:rFonts w:cs="Courier New"/>
          <w:b/>
        </w:rPr>
        <w:t xml:space="preserve">- </w:t>
      </w:r>
      <w:r w:rsidRPr="004F6D08">
        <w:rPr>
          <w:rFonts w:cs="Courier New"/>
          <w:b/>
        </w:rPr>
        <w:t>Handling of controlled substances</w:t>
      </w:r>
    </w:p>
    <w:p w14:paraId="0FE974A2" w14:textId="09F27A1C" w:rsidR="009D7423" w:rsidRDefault="0090065E" w:rsidP="009D7423">
      <w:pPr>
        <w:widowControl w:val="0"/>
        <w:autoSpaceDE w:val="0"/>
        <w:autoSpaceDN w:val="0"/>
        <w:adjustRightInd w:val="0"/>
        <w:spacing w:after="0" w:line="240" w:lineRule="auto"/>
        <w:ind w:left="360" w:right="720"/>
        <w:rPr>
          <w:rFonts w:cs="Courier New"/>
          <w:b/>
        </w:rPr>
      </w:pPr>
      <w:r>
        <w:rPr>
          <w:rFonts w:cs="Courier New"/>
          <w:b/>
        </w:rPr>
        <w:t>Per 21 CFR part 812.5 -</w:t>
      </w:r>
      <w:r w:rsidR="009D7423">
        <w:rPr>
          <w:rFonts w:cs="Courier New"/>
          <w:b/>
        </w:rPr>
        <w:t xml:space="preserve"> Labeling of investigational devices</w:t>
      </w:r>
    </w:p>
    <w:p w14:paraId="0C6860E3" w14:textId="77777777" w:rsidR="009D7423" w:rsidRDefault="009D7423" w:rsidP="009D7423">
      <w:pPr>
        <w:spacing w:after="0" w:line="240" w:lineRule="auto"/>
        <w:ind w:firstLine="360"/>
        <w:rPr>
          <w:rFonts w:cs="Courier New"/>
          <w:b/>
        </w:rPr>
      </w:pPr>
      <w:r w:rsidRPr="00F025DD">
        <w:rPr>
          <w:rFonts w:cs="Courier New"/>
          <w:b/>
        </w:rPr>
        <w:t xml:space="preserve">Per 21CFR part 812.36 </w:t>
      </w:r>
      <w:r>
        <w:rPr>
          <w:rFonts w:cs="Courier New"/>
          <w:b/>
        </w:rPr>
        <w:t xml:space="preserve">- </w:t>
      </w:r>
      <w:r w:rsidRPr="00F025DD">
        <w:rPr>
          <w:rFonts w:cs="Courier New"/>
          <w:b/>
        </w:rPr>
        <w:t>Treatment</w:t>
      </w:r>
      <w:r w:rsidRPr="0074681D">
        <w:rPr>
          <w:rFonts w:cs="Courier New"/>
          <w:b/>
        </w:rPr>
        <w:t xml:space="preserve"> use of an investigational device</w:t>
      </w:r>
    </w:p>
    <w:p w14:paraId="5A63A42A" w14:textId="557A81AE" w:rsidR="00292AD5" w:rsidRPr="00292AD5" w:rsidRDefault="00292AD5" w:rsidP="00292AD5">
      <w:pPr>
        <w:widowControl w:val="0"/>
        <w:autoSpaceDE w:val="0"/>
        <w:autoSpaceDN w:val="0"/>
        <w:adjustRightInd w:val="0"/>
        <w:spacing w:after="0" w:line="240" w:lineRule="auto"/>
        <w:ind w:left="360" w:right="720"/>
        <w:rPr>
          <w:rFonts w:cs="Courier New"/>
          <w:b/>
        </w:rPr>
      </w:pPr>
      <w:r w:rsidRPr="003249A1">
        <w:rPr>
          <w:rFonts w:cs="Courier New"/>
          <w:b/>
        </w:rPr>
        <w:t>Per 21CFR part</w:t>
      </w:r>
      <w:r w:rsidRPr="00292AD5">
        <w:rPr>
          <w:rFonts w:cs="Courier New"/>
          <w:b/>
        </w:rPr>
        <w:t xml:space="preserve"> 812.100 - General responsibilities of investigators </w:t>
      </w:r>
    </w:p>
    <w:p w14:paraId="1CDF7B05" w14:textId="57CDDCEE" w:rsidR="00292AD5" w:rsidRPr="00F025DD" w:rsidRDefault="00292AD5" w:rsidP="00292AD5">
      <w:pPr>
        <w:widowControl w:val="0"/>
        <w:autoSpaceDE w:val="0"/>
        <w:autoSpaceDN w:val="0"/>
        <w:adjustRightInd w:val="0"/>
        <w:spacing w:after="0" w:line="240" w:lineRule="auto"/>
        <w:ind w:left="360" w:right="720"/>
        <w:rPr>
          <w:rFonts w:cs="Courier New"/>
          <w:b/>
        </w:rPr>
      </w:pPr>
      <w:r w:rsidRPr="003249A1">
        <w:rPr>
          <w:rFonts w:cs="Courier New"/>
          <w:b/>
        </w:rPr>
        <w:t>Per 21CFR part</w:t>
      </w:r>
      <w:r w:rsidRPr="00292AD5">
        <w:rPr>
          <w:rFonts w:cs="Courier New"/>
          <w:b/>
        </w:rPr>
        <w:t xml:space="preserve"> 812.110 - Specific responsibilities of investigators</w:t>
      </w:r>
    </w:p>
    <w:p w14:paraId="05D117A8" w14:textId="336BBB5A" w:rsidR="00D4391F" w:rsidRDefault="00D4391F" w:rsidP="00FD2876">
      <w:pPr>
        <w:widowControl w:val="0"/>
        <w:autoSpaceDE w:val="0"/>
        <w:autoSpaceDN w:val="0"/>
        <w:adjustRightInd w:val="0"/>
        <w:spacing w:after="0" w:line="240" w:lineRule="auto"/>
        <w:ind w:left="360" w:right="720"/>
        <w:rPr>
          <w:rFonts w:cs="Courier New"/>
          <w:b/>
        </w:rPr>
      </w:pPr>
      <w:r w:rsidRPr="0074681D">
        <w:rPr>
          <w:rFonts w:cs="Courier New"/>
          <w:b/>
        </w:rPr>
        <w:t>Per 21CFR part 812.140</w:t>
      </w:r>
      <w:r w:rsidR="00292AD5">
        <w:rPr>
          <w:rFonts w:cs="Courier New"/>
          <w:b/>
        </w:rPr>
        <w:t xml:space="preserve"> </w:t>
      </w:r>
      <w:r w:rsidR="004D0CC1">
        <w:rPr>
          <w:rFonts w:cs="Courier New"/>
          <w:b/>
        </w:rPr>
        <w:t>-</w:t>
      </w:r>
      <w:r w:rsidRPr="00F025DD">
        <w:rPr>
          <w:rFonts w:cs="Courier New"/>
          <w:b/>
        </w:rPr>
        <w:t xml:space="preserve"> </w:t>
      </w:r>
      <w:r w:rsidRPr="004F6D08">
        <w:rPr>
          <w:rFonts w:cs="Courier New"/>
          <w:b/>
        </w:rPr>
        <w:t>Record</w:t>
      </w:r>
      <w:r w:rsidR="00C47DA2" w:rsidRPr="004F6D08">
        <w:rPr>
          <w:rFonts w:cs="Courier New"/>
          <w:b/>
        </w:rPr>
        <w:t>s</w:t>
      </w:r>
    </w:p>
    <w:p w14:paraId="0BBFDAEE" w14:textId="77777777" w:rsidR="004F6D08" w:rsidRDefault="004F6D08" w:rsidP="00292AD5">
      <w:pPr>
        <w:spacing w:after="0" w:line="240" w:lineRule="auto"/>
        <w:ind w:firstLine="360"/>
        <w:rPr>
          <w:rFonts w:cs="Courier New"/>
          <w:b/>
        </w:rPr>
      </w:pPr>
    </w:p>
    <w:p w14:paraId="7BF63559" w14:textId="61C23940" w:rsidR="004075C8" w:rsidRDefault="00912CAE" w:rsidP="00FD2876">
      <w:pPr>
        <w:autoSpaceDE w:val="0"/>
        <w:autoSpaceDN w:val="0"/>
        <w:adjustRightInd w:val="0"/>
        <w:spacing w:after="0" w:line="240" w:lineRule="auto"/>
        <w:ind w:left="360"/>
        <w:rPr>
          <w:rFonts w:cs="Courier New"/>
          <w:b/>
        </w:rPr>
      </w:pPr>
      <w:r w:rsidRPr="003E74FB">
        <w:rPr>
          <w:rFonts w:cs="Courier New"/>
          <w:b/>
        </w:rPr>
        <w:t>Sponsor</w:t>
      </w:r>
      <w:r w:rsidR="003C7798">
        <w:rPr>
          <w:rFonts w:cs="Courier New"/>
          <w:b/>
        </w:rPr>
        <w:t>-</w:t>
      </w:r>
      <w:r w:rsidR="00800CD7" w:rsidRPr="003E74FB">
        <w:rPr>
          <w:rFonts w:cs="Courier New"/>
          <w:b/>
        </w:rPr>
        <w:t>Investigator</w:t>
      </w:r>
      <w:r w:rsidR="00B73556">
        <w:rPr>
          <w:rFonts w:cs="Courier New"/>
          <w:b/>
        </w:rPr>
        <w:t xml:space="preserve"> (SI)</w:t>
      </w:r>
      <w:r w:rsidR="004075C8" w:rsidRPr="003E74FB">
        <w:rPr>
          <w:rFonts w:cs="Courier New"/>
          <w:b/>
        </w:rPr>
        <w:t>:</w:t>
      </w:r>
    </w:p>
    <w:p w14:paraId="28B78FA1" w14:textId="77777777" w:rsidR="00C60767" w:rsidRDefault="00C60767" w:rsidP="00C60767">
      <w:pPr>
        <w:spacing w:after="0" w:line="240" w:lineRule="auto"/>
        <w:ind w:firstLine="360"/>
        <w:rPr>
          <w:b/>
        </w:rPr>
      </w:pPr>
      <w:r>
        <w:rPr>
          <w:b/>
        </w:rPr>
        <w:t>Per 21CFR part 312.6</w:t>
      </w:r>
      <w:r w:rsidRPr="004F6D08">
        <w:rPr>
          <w:b/>
        </w:rPr>
        <w:t xml:space="preserve"> </w:t>
      </w:r>
      <w:r>
        <w:rPr>
          <w:b/>
        </w:rPr>
        <w:t xml:space="preserve">- </w:t>
      </w:r>
      <w:r w:rsidRPr="00C60767">
        <w:rPr>
          <w:b/>
        </w:rPr>
        <w:t>Labeling of an investigational new drug</w:t>
      </w:r>
    </w:p>
    <w:p w14:paraId="7B06B151" w14:textId="58210540" w:rsidR="00C60767" w:rsidRDefault="00C60767" w:rsidP="00C60767">
      <w:pPr>
        <w:spacing w:after="0" w:line="240" w:lineRule="auto"/>
        <w:ind w:firstLine="360"/>
        <w:rPr>
          <w:rFonts w:cs="Courier New"/>
          <w:b/>
        </w:rPr>
      </w:pPr>
      <w:r>
        <w:rPr>
          <w:rFonts w:cs="Courier New"/>
          <w:b/>
        </w:rPr>
        <w:t xml:space="preserve">Per 21CFR part 312.7 </w:t>
      </w:r>
      <w:r w:rsidR="0090065E">
        <w:rPr>
          <w:rFonts w:cs="Courier New"/>
          <w:b/>
        </w:rPr>
        <w:t>-</w:t>
      </w:r>
      <w:r>
        <w:rPr>
          <w:rFonts w:cs="Courier New"/>
          <w:b/>
        </w:rPr>
        <w:t xml:space="preserve"> Promotion of investigational drugs</w:t>
      </w:r>
    </w:p>
    <w:p w14:paraId="4ACD6982" w14:textId="05D3580C" w:rsidR="00C60767" w:rsidRDefault="00C60767" w:rsidP="00C60767">
      <w:pPr>
        <w:spacing w:after="0" w:line="240" w:lineRule="auto"/>
        <w:ind w:firstLine="360"/>
        <w:rPr>
          <w:rFonts w:cs="Courier New"/>
          <w:b/>
        </w:rPr>
      </w:pPr>
      <w:r>
        <w:rPr>
          <w:rFonts w:cs="Courier New"/>
          <w:b/>
        </w:rPr>
        <w:t xml:space="preserve">Per 21CFR part 312.8 </w:t>
      </w:r>
      <w:r w:rsidR="0090065E">
        <w:rPr>
          <w:rFonts w:cs="Courier New"/>
          <w:b/>
        </w:rPr>
        <w:t>-</w:t>
      </w:r>
      <w:r>
        <w:rPr>
          <w:rFonts w:cs="Courier New"/>
          <w:b/>
        </w:rPr>
        <w:t xml:space="preserve"> Charging for investigational drugs under an IND</w:t>
      </w:r>
    </w:p>
    <w:p w14:paraId="4EA80A1C" w14:textId="63F1FCC2" w:rsidR="009D7423" w:rsidRDefault="009D7423" w:rsidP="00C60767">
      <w:pPr>
        <w:spacing w:after="0" w:line="240" w:lineRule="auto"/>
        <w:ind w:firstLine="360"/>
        <w:rPr>
          <w:rFonts w:cs="Courier New"/>
          <w:b/>
        </w:rPr>
      </w:pPr>
      <w:r w:rsidRPr="009D7423">
        <w:rPr>
          <w:rFonts w:cs="Courier New"/>
          <w:b/>
        </w:rPr>
        <w:t>Per 21CFR part 312.50 - General responsibilities of sponsors</w:t>
      </w:r>
    </w:p>
    <w:p w14:paraId="7E97DFAC" w14:textId="17E57823" w:rsidR="0024536B" w:rsidRDefault="0024536B" w:rsidP="00C60767">
      <w:pPr>
        <w:spacing w:after="0" w:line="240" w:lineRule="auto"/>
        <w:ind w:firstLine="360"/>
        <w:rPr>
          <w:rFonts w:cs="Courier New"/>
          <w:b/>
        </w:rPr>
      </w:pPr>
      <w:r>
        <w:rPr>
          <w:rFonts w:cs="Courier New"/>
          <w:b/>
        </w:rPr>
        <w:t xml:space="preserve">Per 21CRF part 312.53 </w:t>
      </w:r>
      <w:r w:rsidR="0090065E">
        <w:rPr>
          <w:rFonts w:cs="Courier New"/>
          <w:b/>
        </w:rPr>
        <w:t>-</w:t>
      </w:r>
      <w:r>
        <w:rPr>
          <w:rFonts w:cs="Courier New"/>
          <w:b/>
        </w:rPr>
        <w:t xml:space="preserve"> Selecting investigators and monitors</w:t>
      </w:r>
    </w:p>
    <w:p w14:paraId="6CD49FF4" w14:textId="203FD93F" w:rsidR="005B56BB" w:rsidRPr="004F6D08" w:rsidRDefault="00120501" w:rsidP="00FD2876">
      <w:pPr>
        <w:spacing w:after="0" w:line="240" w:lineRule="auto"/>
        <w:ind w:left="360"/>
        <w:rPr>
          <w:b/>
        </w:rPr>
      </w:pPr>
      <w:r w:rsidRPr="00F025DD">
        <w:rPr>
          <w:b/>
        </w:rPr>
        <w:t xml:space="preserve">Per </w:t>
      </w:r>
      <w:r w:rsidR="005B56BB" w:rsidRPr="0074681D">
        <w:rPr>
          <w:b/>
        </w:rPr>
        <w:t xml:space="preserve">21CFR </w:t>
      </w:r>
      <w:r w:rsidRPr="00746149">
        <w:rPr>
          <w:b/>
        </w:rPr>
        <w:t>part 312</w:t>
      </w:r>
      <w:r w:rsidR="005B56BB" w:rsidRPr="00746149">
        <w:rPr>
          <w:b/>
        </w:rPr>
        <w:t>.57</w:t>
      </w:r>
      <w:r w:rsidR="005B56BB" w:rsidRPr="004F6D08">
        <w:rPr>
          <w:b/>
        </w:rPr>
        <w:t xml:space="preserve"> </w:t>
      </w:r>
      <w:r w:rsidR="00292AD5">
        <w:rPr>
          <w:b/>
        </w:rPr>
        <w:t xml:space="preserve">- </w:t>
      </w:r>
      <w:r w:rsidR="005B56BB" w:rsidRPr="004F6D08">
        <w:rPr>
          <w:rStyle w:val="Strong"/>
          <w:rFonts w:cs="Arial"/>
        </w:rPr>
        <w:t>Recordkeeping and record retention</w:t>
      </w:r>
    </w:p>
    <w:p w14:paraId="5EA0CC4A" w14:textId="6CCF2DCA" w:rsidR="006E3BEF" w:rsidRDefault="006E3BEF" w:rsidP="00FD2876">
      <w:pPr>
        <w:widowControl w:val="0"/>
        <w:autoSpaceDE w:val="0"/>
        <w:autoSpaceDN w:val="0"/>
        <w:adjustRightInd w:val="0"/>
        <w:spacing w:after="0" w:line="240" w:lineRule="auto"/>
        <w:ind w:left="360" w:right="720"/>
        <w:rPr>
          <w:b/>
        </w:rPr>
      </w:pPr>
      <w:r w:rsidRPr="00F025DD">
        <w:rPr>
          <w:b/>
        </w:rPr>
        <w:t>Per 21CFR part 312.59</w:t>
      </w:r>
      <w:r w:rsidRPr="004F6D08">
        <w:rPr>
          <w:b/>
        </w:rPr>
        <w:t xml:space="preserve"> </w:t>
      </w:r>
      <w:r w:rsidR="00292AD5">
        <w:rPr>
          <w:b/>
        </w:rPr>
        <w:t xml:space="preserve">- </w:t>
      </w:r>
      <w:r w:rsidRPr="004F6D08">
        <w:rPr>
          <w:b/>
        </w:rPr>
        <w:t>Disposition of unused supply of investigational drug</w:t>
      </w:r>
    </w:p>
    <w:p w14:paraId="2B451EE9" w14:textId="77777777" w:rsidR="009D7423" w:rsidRPr="009D7423" w:rsidRDefault="009D7423" w:rsidP="009D7423">
      <w:pPr>
        <w:widowControl w:val="0"/>
        <w:autoSpaceDE w:val="0"/>
        <w:autoSpaceDN w:val="0"/>
        <w:adjustRightInd w:val="0"/>
        <w:spacing w:after="0" w:line="240" w:lineRule="auto"/>
        <w:ind w:left="360" w:right="720"/>
        <w:rPr>
          <w:b/>
        </w:rPr>
      </w:pPr>
      <w:r w:rsidRPr="009D7423">
        <w:rPr>
          <w:b/>
        </w:rPr>
        <w:lastRenderedPageBreak/>
        <w:t>Per 21CFR part 312.61 - Control of the investigational drug</w:t>
      </w:r>
    </w:p>
    <w:p w14:paraId="15BF8E9D" w14:textId="77777777" w:rsidR="009D7423" w:rsidRPr="009D7423" w:rsidRDefault="009D7423" w:rsidP="009D7423">
      <w:pPr>
        <w:widowControl w:val="0"/>
        <w:autoSpaceDE w:val="0"/>
        <w:autoSpaceDN w:val="0"/>
        <w:adjustRightInd w:val="0"/>
        <w:spacing w:after="0" w:line="240" w:lineRule="auto"/>
        <w:ind w:left="360" w:right="720"/>
        <w:rPr>
          <w:b/>
        </w:rPr>
      </w:pPr>
      <w:r w:rsidRPr="009D7423">
        <w:rPr>
          <w:b/>
        </w:rPr>
        <w:t>Per 21CRF part 312.62 - Investigator recordkeeping and record retention</w:t>
      </w:r>
    </w:p>
    <w:p w14:paraId="22157F4D" w14:textId="70CED8D3" w:rsidR="009D7423" w:rsidRDefault="009D7423" w:rsidP="009D7423">
      <w:pPr>
        <w:widowControl w:val="0"/>
        <w:autoSpaceDE w:val="0"/>
        <w:autoSpaceDN w:val="0"/>
        <w:adjustRightInd w:val="0"/>
        <w:spacing w:after="0" w:line="240" w:lineRule="auto"/>
        <w:ind w:left="360" w:right="720"/>
        <w:rPr>
          <w:b/>
        </w:rPr>
      </w:pPr>
      <w:r w:rsidRPr="009D7423">
        <w:rPr>
          <w:b/>
        </w:rPr>
        <w:t>Per 21CFR part 312.69 - Handling of controlled substances</w:t>
      </w:r>
    </w:p>
    <w:p w14:paraId="78114DFE" w14:textId="77777777" w:rsidR="009D7423" w:rsidRDefault="009D7423" w:rsidP="009D7423">
      <w:pPr>
        <w:widowControl w:val="0"/>
        <w:autoSpaceDE w:val="0"/>
        <w:autoSpaceDN w:val="0"/>
        <w:adjustRightInd w:val="0"/>
        <w:spacing w:after="0" w:line="240" w:lineRule="auto"/>
        <w:ind w:left="360" w:right="720"/>
        <w:rPr>
          <w:rFonts w:cs="Courier New"/>
          <w:b/>
        </w:rPr>
      </w:pPr>
      <w:r w:rsidRPr="00F025DD">
        <w:rPr>
          <w:rFonts w:cs="Courier New"/>
          <w:b/>
        </w:rPr>
        <w:t>Per 21CFR part 812.5</w:t>
      </w:r>
      <w:r w:rsidRPr="004F6D08">
        <w:rPr>
          <w:rFonts w:cs="Courier New"/>
          <w:b/>
        </w:rPr>
        <w:t xml:space="preserve"> </w:t>
      </w:r>
      <w:r>
        <w:rPr>
          <w:rFonts w:cs="Courier New"/>
          <w:b/>
        </w:rPr>
        <w:t xml:space="preserve">- </w:t>
      </w:r>
      <w:r w:rsidRPr="004F6D08">
        <w:rPr>
          <w:rFonts w:cs="Courier New"/>
          <w:b/>
        </w:rPr>
        <w:t>Labeling of investigational devices</w:t>
      </w:r>
    </w:p>
    <w:p w14:paraId="219C5D1A" w14:textId="4F87D9A2" w:rsidR="009D7423" w:rsidRPr="009D7423" w:rsidRDefault="009D7423" w:rsidP="009D7423">
      <w:pPr>
        <w:widowControl w:val="0"/>
        <w:autoSpaceDE w:val="0"/>
        <w:autoSpaceDN w:val="0"/>
        <w:adjustRightInd w:val="0"/>
        <w:spacing w:after="0" w:line="240" w:lineRule="auto"/>
        <w:ind w:left="360" w:right="720"/>
        <w:rPr>
          <w:rFonts w:cs="Courier New"/>
          <w:b/>
        </w:rPr>
      </w:pPr>
      <w:r w:rsidRPr="009D7423">
        <w:rPr>
          <w:rFonts w:cs="Courier New"/>
          <w:b/>
        </w:rPr>
        <w:t xml:space="preserve">Per </w:t>
      </w:r>
      <w:r w:rsidR="00444A67">
        <w:rPr>
          <w:rFonts w:cs="Courier New"/>
          <w:b/>
        </w:rPr>
        <w:t>21</w:t>
      </w:r>
      <w:r w:rsidRPr="009D7423">
        <w:rPr>
          <w:rFonts w:cs="Courier New"/>
          <w:b/>
        </w:rPr>
        <w:t xml:space="preserve">CFR </w:t>
      </w:r>
      <w:r w:rsidR="00444A67">
        <w:rPr>
          <w:rFonts w:cs="Courier New"/>
          <w:b/>
        </w:rPr>
        <w:t xml:space="preserve">part </w:t>
      </w:r>
      <w:r w:rsidRPr="009D7423">
        <w:rPr>
          <w:rFonts w:cs="Courier New"/>
          <w:b/>
        </w:rPr>
        <w:t xml:space="preserve">812.7 </w:t>
      </w:r>
      <w:r w:rsidR="0090065E">
        <w:rPr>
          <w:rFonts w:cs="Courier New"/>
          <w:b/>
        </w:rPr>
        <w:t>-</w:t>
      </w:r>
      <w:r w:rsidRPr="009D7423">
        <w:rPr>
          <w:rFonts w:cs="Courier New"/>
          <w:b/>
        </w:rPr>
        <w:t xml:space="preserve"> Prohibition of promotion and other practices</w:t>
      </w:r>
    </w:p>
    <w:p w14:paraId="450C990A" w14:textId="29B504E7" w:rsidR="009D7423" w:rsidRPr="004F6D08" w:rsidRDefault="009D7423" w:rsidP="009D7423">
      <w:pPr>
        <w:widowControl w:val="0"/>
        <w:autoSpaceDE w:val="0"/>
        <w:autoSpaceDN w:val="0"/>
        <w:adjustRightInd w:val="0"/>
        <w:spacing w:after="0" w:line="240" w:lineRule="auto"/>
        <w:ind w:left="360" w:right="720"/>
        <w:rPr>
          <w:rFonts w:cs="Courier New"/>
          <w:b/>
        </w:rPr>
      </w:pPr>
      <w:r w:rsidRPr="009D7423">
        <w:rPr>
          <w:rFonts w:cs="Courier New"/>
          <w:b/>
        </w:rPr>
        <w:t xml:space="preserve">Per </w:t>
      </w:r>
      <w:r w:rsidR="00444A67">
        <w:rPr>
          <w:rFonts w:cs="Courier New"/>
          <w:b/>
        </w:rPr>
        <w:t>21</w:t>
      </w:r>
      <w:r w:rsidRPr="009D7423">
        <w:rPr>
          <w:rFonts w:cs="Courier New"/>
          <w:b/>
        </w:rPr>
        <w:t>CF</w:t>
      </w:r>
      <w:r w:rsidR="00444A67">
        <w:rPr>
          <w:rFonts w:cs="Courier New"/>
          <w:b/>
        </w:rPr>
        <w:t>R</w:t>
      </w:r>
      <w:r w:rsidRPr="009D7423">
        <w:rPr>
          <w:rFonts w:cs="Courier New"/>
          <w:b/>
        </w:rPr>
        <w:t xml:space="preserve"> </w:t>
      </w:r>
      <w:r w:rsidR="00444A67">
        <w:rPr>
          <w:rFonts w:cs="Courier New"/>
          <w:b/>
        </w:rPr>
        <w:t xml:space="preserve">part </w:t>
      </w:r>
      <w:r w:rsidRPr="009D7423">
        <w:rPr>
          <w:rFonts w:cs="Courier New"/>
          <w:b/>
        </w:rPr>
        <w:t xml:space="preserve">812.40 </w:t>
      </w:r>
      <w:r w:rsidR="0090065E">
        <w:rPr>
          <w:rFonts w:cs="Courier New"/>
          <w:b/>
        </w:rPr>
        <w:t>-</w:t>
      </w:r>
      <w:r w:rsidRPr="009D7423">
        <w:rPr>
          <w:rFonts w:cs="Courier New"/>
          <w:b/>
        </w:rPr>
        <w:t xml:space="preserve"> General </w:t>
      </w:r>
      <w:r w:rsidR="00661597" w:rsidRPr="009D7423">
        <w:rPr>
          <w:rFonts w:cs="Courier New"/>
          <w:b/>
        </w:rPr>
        <w:t>responsibilities</w:t>
      </w:r>
      <w:r w:rsidRPr="009D7423">
        <w:rPr>
          <w:rFonts w:cs="Courier New"/>
          <w:b/>
        </w:rPr>
        <w:t xml:space="preserve"> of sponsors</w:t>
      </w:r>
    </w:p>
    <w:p w14:paraId="334EFD8D" w14:textId="77777777" w:rsidR="00CF6076" w:rsidRDefault="00CF6076" w:rsidP="00FD2876">
      <w:pPr>
        <w:widowControl w:val="0"/>
        <w:autoSpaceDE w:val="0"/>
        <w:autoSpaceDN w:val="0"/>
        <w:adjustRightInd w:val="0"/>
        <w:spacing w:after="0" w:line="240" w:lineRule="auto"/>
        <w:ind w:right="720"/>
        <w:rPr>
          <w:rFonts w:cs="Courier New"/>
        </w:rPr>
      </w:pPr>
    </w:p>
    <w:p w14:paraId="3E4066D5" w14:textId="31D0153E" w:rsidR="00114200" w:rsidRPr="004F6D08" w:rsidRDefault="00CE503C" w:rsidP="00FD2876">
      <w:pPr>
        <w:spacing w:after="0" w:line="240" w:lineRule="auto"/>
        <w:ind w:left="360"/>
        <w:rPr>
          <w:b/>
        </w:rPr>
      </w:pPr>
      <w:r>
        <w:rPr>
          <w:b/>
        </w:rPr>
        <w:t>Michigan Medicine</w:t>
      </w:r>
    </w:p>
    <w:p w14:paraId="194B1708" w14:textId="77777777" w:rsidR="00426B8A" w:rsidRDefault="00426B8A" w:rsidP="00FD2876">
      <w:pPr>
        <w:spacing w:after="0" w:line="240" w:lineRule="auto"/>
        <w:ind w:left="360"/>
      </w:pPr>
    </w:p>
    <w:p w14:paraId="3FEF79A7" w14:textId="5B3C1D4F" w:rsidR="009E3FD2" w:rsidRDefault="00D16222" w:rsidP="00D16222">
      <w:pPr>
        <w:widowControl w:val="0"/>
        <w:autoSpaceDE w:val="0"/>
        <w:autoSpaceDN w:val="0"/>
        <w:adjustRightInd w:val="0"/>
        <w:spacing w:after="0" w:line="239" w:lineRule="auto"/>
        <w:ind w:left="360" w:right="720"/>
        <w:rPr>
          <w:i/>
        </w:rPr>
      </w:pPr>
      <w:r w:rsidRPr="00CE503C">
        <w:rPr>
          <w:rFonts w:cstheme="minorHAnsi"/>
        </w:rPr>
        <w:t xml:space="preserve">A study involving an Investigational drug or biologic that is conducted using </w:t>
      </w:r>
      <w:r w:rsidR="00CE503C" w:rsidRPr="00CE503C">
        <w:rPr>
          <w:rFonts w:cstheme="minorHAnsi"/>
          <w:shd w:val="clear" w:color="auto" w:fill="FFFFFF"/>
        </w:rPr>
        <w:t>Michigan Medicine</w:t>
      </w:r>
      <w:r w:rsidRPr="00CE503C">
        <w:rPr>
          <w:rFonts w:cstheme="minorHAnsi"/>
        </w:rPr>
        <w:t xml:space="preserve"> facilities must be reviewed by the</w:t>
      </w:r>
      <w:r w:rsidRPr="00CE503C">
        <w:t xml:space="preserve"> </w:t>
      </w:r>
      <w:r w:rsidR="00BB112A" w:rsidRPr="00CE503C">
        <w:t>Research Pharmacy</w:t>
      </w:r>
      <w:r w:rsidRPr="00CE503C">
        <w:t>. Per pharmacy Policy,</w:t>
      </w:r>
      <w:r w:rsidRPr="00CE503C">
        <w:rPr>
          <w:i/>
        </w:rPr>
        <w:t xml:space="preserve"> investigational drugs used in humans in the </w:t>
      </w:r>
      <w:r w:rsidRPr="00CE503C">
        <w:t xml:space="preserve">UMHHC </w:t>
      </w:r>
      <w:r w:rsidR="00CE503C" w:rsidRPr="00CE503C">
        <w:rPr>
          <w:rFonts w:cstheme="minorHAnsi"/>
        </w:rPr>
        <w:t>(</w:t>
      </w:r>
      <w:r w:rsidR="00CE503C" w:rsidRPr="00CE503C">
        <w:rPr>
          <w:rFonts w:cstheme="minorHAnsi"/>
          <w:shd w:val="clear" w:color="auto" w:fill="FFFFFF"/>
        </w:rPr>
        <w:t>University of Michigan Hospitals and Health Centers</w:t>
      </w:r>
      <w:r w:rsidR="00CE503C" w:rsidRPr="00CE503C">
        <w:rPr>
          <w:rFonts w:cstheme="minorHAnsi"/>
        </w:rPr>
        <w:t>)</w:t>
      </w:r>
      <w:r w:rsidR="00CE503C">
        <w:rPr>
          <w:rFonts w:cstheme="minorHAnsi"/>
        </w:rPr>
        <w:t xml:space="preserve"> </w:t>
      </w:r>
      <w:r w:rsidRPr="00CE503C">
        <w:rPr>
          <w:rFonts w:cstheme="minorHAnsi"/>
        </w:rPr>
        <w:t xml:space="preserve">must be stored and dispensed by </w:t>
      </w:r>
      <w:r w:rsidR="00801C7D" w:rsidRPr="00CE503C">
        <w:rPr>
          <w:rFonts w:cstheme="minorHAnsi"/>
        </w:rPr>
        <w:t>the</w:t>
      </w:r>
      <w:r w:rsidR="00801C7D" w:rsidRPr="00CE503C">
        <w:rPr>
          <w:rFonts w:cstheme="minorHAnsi"/>
          <w:i/>
        </w:rPr>
        <w:t xml:space="preserve"> Research</w:t>
      </w:r>
      <w:r w:rsidR="00801C7D" w:rsidRPr="00CE503C">
        <w:rPr>
          <w:i/>
        </w:rPr>
        <w:t xml:space="preserve"> </w:t>
      </w:r>
      <w:r w:rsidR="00801C7D" w:rsidRPr="00D25FCB">
        <w:rPr>
          <w:i/>
        </w:rPr>
        <w:t>P</w:t>
      </w:r>
      <w:r w:rsidRPr="00D25FCB">
        <w:rPr>
          <w:i/>
        </w:rPr>
        <w:t>harmacy.</w:t>
      </w:r>
      <w:r w:rsidRPr="00BB112A">
        <w:rPr>
          <w:i/>
        </w:rPr>
        <w:t xml:space="preserve"> Exceptions (waiver of </w:t>
      </w:r>
      <w:r w:rsidR="00133417">
        <w:rPr>
          <w:i/>
        </w:rPr>
        <w:t>Research Pharmacy</w:t>
      </w:r>
      <w:r w:rsidRPr="00BB112A">
        <w:rPr>
          <w:i/>
        </w:rPr>
        <w:t xml:space="preserve"> involvement) may be allowed in situations where it can be shown that storage or dispensing of the drug by </w:t>
      </w:r>
      <w:r w:rsidR="00801C7D">
        <w:rPr>
          <w:i/>
        </w:rPr>
        <w:t>the Research Pharmacy</w:t>
      </w:r>
      <w:r w:rsidRPr="00BB112A">
        <w:rPr>
          <w:i/>
        </w:rPr>
        <w:t xml:space="preserve"> presents a hardship to the investigator, to study subjects or to the conduct of the study. In these cases, </w:t>
      </w:r>
      <w:r w:rsidR="00BB112A" w:rsidRPr="00BB112A">
        <w:rPr>
          <w:i/>
        </w:rPr>
        <w:t>Research Pharmacy</w:t>
      </w:r>
      <w:r w:rsidRPr="00BB112A">
        <w:rPr>
          <w:i/>
        </w:rPr>
        <w:t xml:space="preserve"> shall assure storage, dispensing and inventory control criteria are met by auditing these processes. </w:t>
      </w:r>
      <w:r w:rsidR="003162CF">
        <w:rPr>
          <w:i/>
        </w:rPr>
        <w:t xml:space="preserve">(This was taken from </w:t>
      </w:r>
      <w:r w:rsidR="00661597">
        <w:rPr>
          <w:i/>
        </w:rPr>
        <w:t>eResearch;</w:t>
      </w:r>
      <w:r w:rsidR="003162CF">
        <w:rPr>
          <w:i/>
        </w:rPr>
        <w:t xml:space="preserve"> however, Research pharmacy policy link is included here.</w:t>
      </w:r>
      <w:r w:rsidRPr="00BB112A">
        <w:rPr>
          <w:i/>
        </w:rPr>
        <w:t>)</w:t>
      </w:r>
    </w:p>
    <w:p w14:paraId="23CA7ED1" w14:textId="64F6A25D" w:rsidR="003162CF" w:rsidRDefault="003162CF" w:rsidP="00D16222">
      <w:pPr>
        <w:widowControl w:val="0"/>
        <w:autoSpaceDE w:val="0"/>
        <w:autoSpaceDN w:val="0"/>
        <w:adjustRightInd w:val="0"/>
        <w:spacing w:after="0" w:line="239" w:lineRule="auto"/>
        <w:ind w:left="360" w:right="720"/>
      </w:pPr>
      <w:r w:rsidRPr="003E74FB">
        <w:rPr>
          <w:rFonts w:cs="Calibri"/>
          <w:i/>
        </w:rPr>
        <w:t xml:space="preserve">Policy: 400.05 </w:t>
      </w:r>
      <w:hyperlink r:id="rId11" w:history="1">
        <w:r w:rsidR="00DC7AB9">
          <w:rPr>
            <w:rStyle w:val="Hyperlink"/>
          </w:rPr>
          <w:t>PolicyStat :: PolicyStat</w:t>
        </w:r>
      </w:hyperlink>
    </w:p>
    <w:p w14:paraId="2E072AAB" w14:textId="63FC9E49" w:rsidR="00575821" w:rsidRDefault="00575821" w:rsidP="00D16222">
      <w:pPr>
        <w:widowControl w:val="0"/>
        <w:autoSpaceDE w:val="0"/>
        <w:autoSpaceDN w:val="0"/>
        <w:adjustRightInd w:val="0"/>
        <w:spacing w:after="0" w:line="239" w:lineRule="auto"/>
        <w:ind w:left="360" w:right="720"/>
        <w:rPr>
          <w:rFonts w:cs="Calibri"/>
          <w:i/>
        </w:rPr>
      </w:pPr>
    </w:p>
    <w:p w14:paraId="6D515140" w14:textId="033B52A4" w:rsidR="00575821" w:rsidRPr="003B189E" w:rsidRDefault="00575821" w:rsidP="00D16222">
      <w:pPr>
        <w:widowControl w:val="0"/>
        <w:autoSpaceDE w:val="0"/>
        <w:autoSpaceDN w:val="0"/>
        <w:adjustRightInd w:val="0"/>
        <w:spacing w:after="0" w:line="239" w:lineRule="auto"/>
        <w:ind w:left="360" w:right="720"/>
        <w:rPr>
          <w:rFonts w:cs="Calibri"/>
          <w:iCs/>
        </w:rPr>
      </w:pPr>
      <w:r>
        <w:rPr>
          <w:rFonts w:cs="Calibri"/>
          <w:iCs/>
        </w:rPr>
        <w:t xml:space="preserve">Studies involving </w:t>
      </w:r>
      <w:proofErr w:type="gramStart"/>
      <w:r>
        <w:rPr>
          <w:rFonts w:cs="Calibri"/>
          <w:iCs/>
        </w:rPr>
        <w:t xml:space="preserve">controlled substances may be audited by the </w:t>
      </w:r>
      <w:r w:rsidRPr="00FB3CB0">
        <w:t>U-M Controlled Substances in Research Review Committee</w:t>
      </w:r>
      <w:proofErr w:type="gramEnd"/>
      <w:r w:rsidR="00C511DE">
        <w:t xml:space="preserve">. </w:t>
      </w:r>
    </w:p>
    <w:p w14:paraId="2320D5AA" w14:textId="77777777" w:rsidR="003E74FB" w:rsidRDefault="003E74FB" w:rsidP="003E74FB">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5395EA2E" w14:textId="77777777" w:rsidR="003162CF" w:rsidRPr="00BB112A" w:rsidRDefault="003162CF" w:rsidP="00FD2876">
      <w:pPr>
        <w:widowControl w:val="0"/>
        <w:autoSpaceDE w:val="0"/>
        <w:autoSpaceDN w:val="0"/>
        <w:adjustRightInd w:val="0"/>
        <w:spacing w:after="0" w:line="240" w:lineRule="auto"/>
        <w:ind w:left="360" w:right="720"/>
        <w:rPr>
          <w:rFonts w:cs="Calibri"/>
          <w:i/>
        </w:rPr>
      </w:pPr>
    </w:p>
    <w:p w14:paraId="03B11AC5" w14:textId="2943771F" w:rsidR="009C7CFE" w:rsidRPr="003071F8" w:rsidRDefault="009E3FD2" w:rsidP="00FD2876">
      <w:pPr>
        <w:widowControl w:val="0"/>
        <w:autoSpaceDE w:val="0"/>
        <w:autoSpaceDN w:val="0"/>
        <w:adjustRightInd w:val="0"/>
        <w:spacing w:after="0" w:line="240" w:lineRule="auto"/>
        <w:ind w:left="360" w:right="720"/>
        <w:rPr>
          <w:rFonts w:cs="Calibri"/>
          <w:b/>
        </w:rPr>
      </w:pPr>
      <w:r>
        <w:rPr>
          <w:rFonts w:cs="Calibri"/>
        </w:rPr>
        <w:t xml:space="preserve"> </w:t>
      </w:r>
      <w:r w:rsidR="00C8176C" w:rsidRPr="003071F8">
        <w:rPr>
          <w:rFonts w:cs="Calibri"/>
          <w:b/>
        </w:rPr>
        <w:t>Addi</w:t>
      </w:r>
      <w:r w:rsidR="00BE6802">
        <w:rPr>
          <w:rFonts w:cs="Calibri"/>
          <w:b/>
        </w:rPr>
        <w:t>tional Regulations or Policies</w:t>
      </w:r>
      <w:r w:rsidR="0056428D">
        <w:rPr>
          <w:rFonts w:cs="Calibri"/>
          <w:b/>
        </w:rPr>
        <w:tab/>
      </w:r>
      <w:r w:rsidR="0056428D">
        <w:rPr>
          <w:rFonts w:cs="Calibri"/>
          <w:b/>
        </w:rPr>
        <w:tab/>
      </w:r>
      <w:sdt>
        <w:sdtPr>
          <w:rPr>
            <w:rFonts w:cs="Calibri"/>
            <w:b/>
          </w:rPr>
          <w:id w:val="1083265604"/>
          <w14:checkbox>
            <w14:checked w14:val="0"/>
            <w14:checkedState w14:val="2612" w14:font="MS Gothic"/>
            <w14:uncheckedState w14:val="2610" w14:font="MS Gothic"/>
          </w14:checkbox>
        </w:sdtPr>
        <w:sdtEndPr/>
        <w:sdtContent>
          <w:r w:rsidR="00C8176C" w:rsidRPr="003071F8">
            <w:rPr>
              <w:rFonts w:ascii="MS Gothic" w:eastAsia="MS Gothic" w:hAnsi="MS Gothic" w:cs="Calibri" w:hint="eastAsia"/>
              <w:b/>
            </w:rPr>
            <w:t>☐</w:t>
          </w:r>
        </w:sdtContent>
      </w:sdt>
      <w:r w:rsidR="00C8176C" w:rsidRPr="003071F8">
        <w:rPr>
          <w:rFonts w:cs="Calibri"/>
          <w:b/>
        </w:rPr>
        <w:t xml:space="preserve"> N/A</w:t>
      </w:r>
    </w:p>
    <w:p w14:paraId="1C3D9E3B" w14:textId="46AD92CA" w:rsidR="003E74FB" w:rsidRDefault="003E74FB" w:rsidP="00FD2876">
      <w:pPr>
        <w:widowControl w:val="0"/>
        <w:autoSpaceDE w:val="0"/>
        <w:autoSpaceDN w:val="0"/>
        <w:adjustRightInd w:val="0"/>
        <w:spacing w:after="0" w:line="240" w:lineRule="auto"/>
        <w:ind w:left="360" w:right="720"/>
        <w:rPr>
          <w:rFonts w:cs="Calibri"/>
          <w:b/>
        </w:rPr>
      </w:pPr>
    </w:p>
    <w:p w14:paraId="726BB7EC" w14:textId="73C60AC9" w:rsidR="006324A1" w:rsidRDefault="006324A1" w:rsidP="00FD2876">
      <w:pPr>
        <w:widowControl w:val="0"/>
        <w:autoSpaceDE w:val="0"/>
        <w:autoSpaceDN w:val="0"/>
        <w:adjustRightInd w:val="0"/>
        <w:spacing w:after="0" w:line="240" w:lineRule="auto"/>
        <w:ind w:left="360" w:right="720"/>
        <w:rPr>
          <w:rFonts w:cs="Calibri"/>
          <w:i/>
          <w:color w:val="00B0F0"/>
        </w:rPr>
      </w:pPr>
      <w:r w:rsidRPr="00F1615E">
        <w:rPr>
          <w:rFonts w:cs="Calibri"/>
          <w:i/>
          <w:color w:val="00B0F0"/>
        </w:rPr>
        <w:t>[Optional:</w:t>
      </w:r>
      <w:r>
        <w:rPr>
          <w:rFonts w:cs="Calibri"/>
          <w:i/>
          <w:color w:val="00B0F0"/>
        </w:rPr>
        <w:t xml:space="preserve"> I</w:t>
      </w:r>
      <w:r w:rsidRPr="00F1615E">
        <w:rPr>
          <w:rFonts w:cs="Calibri"/>
          <w:i/>
          <w:color w:val="00B0F0"/>
        </w:rPr>
        <w:t xml:space="preserve">nsert any additional project, department, sponsor, institution, </w:t>
      </w:r>
      <w:r w:rsidR="00C511DE" w:rsidRPr="00F1615E">
        <w:rPr>
          <w:rFonts w:cs="Calibri"/>
          <w:i/>
          <w:color w:val="00B0F0"/>
        </w:rPr>
        <w:t>state,</w:t>
      </w:r>
      <w:r w:rsidRPr="00F1615E">
        <w:rPr>
          <w:rFonts w:cs="Calibri"/>
          <w:i/>
          <w:color w:val="00B0F0"/>
        </w:rPr>
        <w:t xml:space="preserve"> or federal policies that apply]</w:t>
      </w:r>
    </w:p>
    <w:p w14:paraId="638865A5" w14:textId="77777777" w:rsidR="006203F4" w:rsidRPr="006203F4" w:rsidRDefault="006203F4" w:rsidP="00FD2876">
      <w:pPr>
        <w:widowControl w:val="0"/>
        <w:autoSpaceDE w:val="0"/>
        <w:autoSpaceDN w:val="0"/>
        <w:adjustRightInd w:val="0"/>
        <w:spacing w:after="0" w:line="240" w:lineRule="auto"/>
        <w:ind w:left="360" w:right="720"/>
        <w:rPr>
          <w:rFonts w:cs="Calibri"/>
          <w:color w:val="00B0F0"/>
        </w:rPr>
      </w:pPr>
    </w:p>
    <w:p w14:paraId="6F1F9891" w14:textId="77777777" w:rsidR="009D5844" w:rsidRPr="009D5844" w:rsidRDefault="00695A12" w:rsidP="00FD2876">
      <w:pPr>
        <w:pStyle w:val="ListParagraph"/>
        <w:widowControl w:val="0"/>
        <w:numPr>
          <w:ilvl w:val="0"/>
          <w:numId w:val="1"/>
        </w:numPr>
        <w:autoSpaceDE w:val="0"/>
        <w:autoSpaceDN w:val="0"/>
        <w:adjustRightInd w:val="0"/>
        <w:spacing w:after="0" w:line="240" w:lineRule="auto"/>
        <w:ind w:right="720"/>
      </w:pPr>
      <w:r w:rsidRPr="00CD12A1">
        <w:rPr>
          <w:b/>
        </w:rPr>
        <w:t>DEFINITIONS</w:t>
      </w:r>
      <w:r w:rsidR="00CD12A1" w:rsidRPr="00CD12A1">
        <w:rPr>
          <w:b/>
        </w:rPr>
        <w:t xml:space="preserve"> </w:t>
      </w:r>
    </w:p>
    <w:p w14:paraId="4B01735A" w14:textId="794D740B" w:rsidR="00646F80" w:rsidRDefault="00646F80" w:rsidP="00FD2876">
      <w:pPr>
        <w:spacing w:after="0" w:line="240" w:lineRule="auto"/>
        <w:ind w:right="720"/>
      </w:pPr>
    </w:p>
    <w:p w14:paraId="6C9474C2" w14:textId="14D0A3D9" w:rsidR="00BF10DF" w:rsidRDefault="00BF10DF" w:rsidP="00FD2876">
      <w:pPr>
        <w:spacing w:after="0" w:line="240" w:lineRule="auto"/>
        <w:ind w:left="360" w:right="720"/>
      </w:pPr>
      <w:r>
        <w:t>COMBINATION PRODUCT:</w:t>
      </w:r>
      <w:r w:rsidR="003F09B0">
        <w:t xml:space="preserve"> The term includes:</w:t>
      </w:r>
    </w:p>
    <w:p w14:paraId="59662ED2" w14:textId="544E8A2E" w:rsidR="002736BE" w:rsidRPr="000E04EB" w:rsidRDefault="002736BE" w:rsidP="00FD2876">
      <w:pPr>
        <w:pStyle w:val="ListParagraph"/>
        <w:numPr>
          <w:ilvl w:val="0"/>
          <w:numId w:val="24"/>
        </w:numPr>
        <w:spacing w:after="0" w:line="240" w:lineRule="auto"/>
        <w:ind w:right="720"/>
        <w:rPr>
          <w:lang w:val="en"/>
        </w:rPr>
      </w:pPr>
      <w:r w:rsidRPr="000E04EB">
        <w:rPr>
          <w:lang w:val="en"/>
        </w:rPr>
        <w:t>A product comprised of two or more regulated components, i.e., drug/device, biologic/device, drug/biologic, or drug/device/biologic, that are physically, chemically, or otherwise combined or mixed and produced as a single entity;</w:t>
      </w:r>
    </w:p>
    <w:p w14:paraId="64021972" w14:textId="0F98ACD8" w:rsidR="002736BE" w:rsidRPr="000E04EB" w:rsidRDefault="002736BE" w:rsidP="00FD2876">
      <w:pPr>
        <w:pStyle w:val="ListParagraph"/>
        <w:numPr>
          <w:ilvl w:val="0"/>
          <w:numId w:val="24"/>
        </w:numPr>
        <w:spacing w:after="0" w:line="240" w:lineRule="auto"/>
        <w:ind w:right="720"/>
      </w:pPr>
      <w:r w:rsidRPr="000E04EB">
        <w:rPr>
          <w:lang w:val="en"/>
        </w:rPr>
        <w:lastRenderedPageBreak/>
        <w:t xml:space="preserve">Two or more separate products packaged together in a single package or as a unit and comprised of drug and device products, </w:t>
      </w:r>
      <w:r w:rsidR="00543D34" w:rsidRPr="000E04EB">
        <w:rPr>
          <w:lang w:val="en"/>
        </w:rPr>
        <w:t>device,</w:t>
      </w:r>
      <w:r w:rsidRPr="000E04EB">
        <w:rPr>
          <w:lang w:val="en"/>
        </w:rPr>
        <w:t xml:space="preserve"> and biological products, or biological and drug </w:t>
      </w:r>
      <w:proofErr w:type="gramStart"/>
      <w:r w:rsidRPr="000E04EB">
        <w:rPr>
          <w:lang w:val="en"/>
        </w:rPr>
        <w:t>products;</w:t>
      </w:r>
      <w:proofErr w:type="gramEnd"/>
    </w:p>
    <w:p w14:paraId="19188A6A" w14:textId="4699DD5A" w:rsidR="002736BE" w:rsidRPr="000E04EB" w:rsidRDefault="002736BE" w:rsidP="00FD2876">
      <w:pPr>
        <w:pStyle w:val="ListParagraph"/>
        <w:numPr>
          <w:ilvl w:val="0"/>
          <w:numId w:val="24"/>
        </w:numPr>
        <w:spacing w:after="0" w:line="240" w:lineRule="auto"/>
        <w:ind w:right="720"/>
      </w:pPr>
      <w:r w:rsidRPr="000E04EB">
        <w:rPr>
          <w:rFonts w:eastAsia="Times New Roman" w:cs="Times New Roman"/>
          <w:lang w:val="en"/>
        </w:rPr>
        <w:t>A drug, device, or biological product packaged separately that according to its investigational plan or proposed labeling is intended for use only with an approved individually specified drug, device, or biological product where both are required to achieve the intended use, indication, or effect and where upon approval of the proposed product the labeling of the approved product would need to be changed, e.g., to reflect a change in intended use, dosage form, strength, route of administration, or significant change in dose; or</w:t>
      </w:r>
    </w:p>
    <w:p w14:paraId="2284FD14" w14:textId="58964392" w:rsidR="002736BE" w:rsidRPr="000E04EB" w:rsidRDefault="002736BE" w:rsidP="00FD2876">
      <w:pPr>
        <w:pStyle w:val="ListParagraph"/>
        <w:numPr>
          <w:ilvl w:val="0"/>
          <w:numId w:val="24"/>
        </w:numPr>
        <w:spacing w:after="0" w:line="240" w:lineRule="auto"/>
        <w:ind w:right="720"/>
      </w:pPr>
      <w:r w:rsidRPr="000E04EB">
        <w:rPr>
          <w:rFonts w:eastAsia="Times New Roman" w:cs="Times New Roman"/>
          <w:lang w:val="en"/>
        </w:rPr>
        <w:t>Any investigational drug, device, or biological product packaged separately that according to its proposed labeling is for use only with another individually specified investigational drug, device, or biological product where both are required to achieve the intended use, indication, or effect</w:t>
      </w:r>
      <w:r w:rsidR="00BA7C87">
        <w:rPr>
          <w:rFonts w:eastAsia="Times New Roman" w:cs="Times New Roman"/>
          <w:lang w:val="en"/>
        </w:rPr>
        <w:t>.</w:t>
      </w:r>
      <w:r w:rsidRPr="000E04EB">
        <w:rPr>
          <w:rFonts w:eastAsia="Times New Roman" w:cs="Times New Roman"/>
          <w:lang w:val="en"/>
        </w:rPr>
        <w:t xml:space="preserve"> </w:t>
      </w:r>
    </w:p>
    <w:p w14:paraId="16503050" w14:textId="77777777" w:rsidR="00BF10DF" w:rsidRPr="00C21642" w:rsidRDefault="00BF10DF" w:rsidP="00860744">
      <w:pPr>
        <w:spacing w:after="0" w:line="240" w:lineRule="auto"/>
        <w:ind w:right="720"/>
      </w:pPr>
    </w:p>
    <w:p w14:paraId="04862482" w14:textId="7724B53C" w:rsidR="00367B9D" w:rsidRPr="0058374A" w:rsidRDefault="00367B9D" w:rsidP="00367B9D">
      <w:pPr>
        <w:pStyle w:val="ListParagraph"/>
        <w:spacing w:after="0" w:line="240" w:lineRule="auto"/>
        <w:ind w:left="360" w:right="720"/>
      </w:pPr>
      <w:bookmarkStart w:id="0" w:name="_Hlk116644234"/>
      <w:r w:rsidRPr="00330AC8">
        <w:t>GOOD CLINICAL PRACTICE: A standard for the design, conduct, performance, monitoring, auditing, recording, analysis, and reporting of clinical trials that provides assurance that the data and reported results are credible and accurate, and that the rights, integrity, and confidentiality of trial subjects are protected</w:t>
      </w:r>
      <w:r w:rsidR="00C511DE" w:rsidRPr="00330AC8">
        <w:t xml:space="preserve">. </w:t>
      </w:r>
      <w:r w:rsidRPr="00330AC8">
        <w:t>(Definition is from ICH -GCP R2)</w:t>
      </w:r>
    </w:p>
    <w:bookmarkEnd w:id="0"/>
    <w:p w14:paraId="0CE2A290" w14:textId="77777777" w:rsidR="00646F80" w:rsidRPr="0058374A" w:rsidRDefault="00646F80" w:rsidP="003169EF">
      <w:pPr>
        <w:pStyle w:val="ListParagraph"/>
        <w:spacing w:after="0" w:line="240" w:lineRule="auto"/>
        <w:ind w:left="360" w:right="720"/>
      </w:pPr>
    </w:p>
    <w:p w14:paraId="3CF74348" w14:textId="2504ED36" w:rsidR="00E07007" w:rsidRPr="0058374A" w:rsidRDefault="006D6D52" w:rsidP="009B2DD2">
      <w:pPr>
        <w:pStyle w:val="ListParagraph"/>
        <w:spacing w:after="0" w:line="240" w:lineRule="auto"/>
        <w:ind w:left="360" w:right="720"/>
      </w:pPr>
      <w:r w:rsidRPr="00330AC8">
        <w:t xml:space="preserve">INTERNATIONAL COUNCIL ON HARMONISATION (ICH): A joint initiative involving both regulators and research-based industry representatives of the European Union, </w:t>
      </w:r>
      <w:r w:rsidR="00C511DE" w:rsidRPr="00330AC8">
        <w:t>Japan,</w:t>
      </w:r>
      <w:r w:rsidRPr="00330AC8">
        <w:t xml:space="preserve"> and the USA in scientific and technical discussions of the testing procedures required to assess and ensure the safety, </w:t>
      </w:r>
      <w:r w:rsidR="00C511DE" w:rsidRPr="00330AC8">
        <w:t>quality,</w:t>
      </w:r>
      <w:r w:rsidRPr="00330AC8">
        <w:t xml:space="preserve"> and efficacy of medicines</w:t>
      </w:r>
      <w:r w:rsidRPr="0058374A">
        <w:t xml:space="preserve"> </w:t>
      </w:r>
    </w:p>
    <w:p w14:paraId="6DD0978D" w14:textId="77777777" w:rsidR="00954613" w:rsidRPr="0058374A" w:rsidRDefault="00954613" w:rsidP="003169EF">
      <w:pPr>
        <w:pStyle w:val="ListParagraph"/>
        <w:spacing w:after="0" w:line="240" w:lineRule="auto"/>
        <w:ind w:left="360" w:right="720"/>
      </w:pPr>
    </w:p>
    <w:p w14:paraId="68EF7B7D" w14:textId="77777777" w:rsidR="00832935" w:rsidRPr="00CE20F4" w:rsidRDefault="00832935" w:rsidP="00832935">
      <w:pPr>
        <w:pStyle w:val="ListParagraph"/>
        <w:spacing w:after="0" w:line="240" w:lineRule="auto"/>
        <w:ind w:left="360" w:right="720"/>
      </w:pPr>
      <w:bookmarkStart w:id="1" w:name="_Hlk116633260"/>
      <w:r w:rsidRPr="00330AC8">
        <w:t>INVESTIGATIONAL DEVICE EXEMPTION (IDE): Approval by FDA for investigational device exemption (IDE) permits a device that otherwise would be required to comply with a performance standard or to have premarket approval to be shipped lawfully across state and international boundaries for the purpose of conducting investigations of that device. (FDA 21CRF812)</w:t>
      </w:r>
    </w:p>
    <w:bookmarkEnd w:id="1"/>
    <w:p w14:paraId="3CD823D8" w14:textId="77777777" w:rsidR="00646F80" w:rsidRPr="00CE20F4" w:rsidRDefault="00646F80" w:rsidP="003169EF">
      <w:pPr>
        <w:pStyle w:val="ListParagraph"/>
        <w:spacing w:after="0" w:line="240" w:lineRule="auto"/>
        <w:ind w:left="360" w:right="720"/>
      </w:pPr>
    </w:p>
    <w:p w14:paraId="79CA7A04" w14:textId="77777777" w:rsidR="00232882" w:rsidRDefault="009D5844" w:rsidP="00232882">
      <w:pPr>
        <w:pStyle w:val="ListParagraph"/>
        <w:spacing w:after="0" w:line="240" w:lineRule="auto"/>
        <w:ind w:left="360" w:right="720"/>
      </w:pPr>
      <w:r w:rsidRPr="0058374A">
        <w:t xml:space="preserve">INVESTIGATIONAL NEW DRUG (IND): </w:t>
      </w:r>
      <w:r w:rsidR="00232882" w:rsidRPr="00330AC8">
        <w:t>a new drug or biological drug that is used in a clinical investigation. The term also includes a biological product that is used in vitro for diagnostic purposes. The terms “investigational drug” and “investigational new drug” are deemed to be synonymous for purposes of this part.</w:t>
      </w:r>
    </w:p>
    <w:p w14:paraId="67B7E655" w14:textId="77777777" w:rsidR="00232882" w:rsidRDefault="00232882" w:rsidP="00232882">
      <w:pPr>
        <w:pStyle w:val="ListParagraph"/>
        <w:spacing w:after="0" w:line="240" w:lineRule="auto"/>
        <w:ind w:left="360" w:right="720"/>
      </w:pPr>
    </w:p>
    <w:p w14:paraId="150C46E3" w14:textId="77777777" w:rsidR="00232882" w:rsidRPr="0058374A" w:rsidRDefault="00232882" w:rsidP="00232882">
      <w:pPr>
        <w:pStyle w:val="ListParagraph"/>
        <w:spacing w:after="0" w:line="240" w:lineRule="auto"/>
        <w:ind w:left="360" w:right="720"/>
      </w:pPr>
      <w:r w:rsidRPr="00330AC8">
        <w:rPr>
          <w:rStyle w:val="Emphasis"/>
        </w:rPr>
        <w:lastRenderedPageBreak/>
        <w:t>IND</w:t>
      </w:r>
      <w:r w:rsidRPr="00330AC8">
        <w:t xml:space="preserve"> means an investigational new drug application. For purposes of this part, “IND” is synonymous with “Notice of Claimed Investigational Exemption for a New Drug.”</w:t>
      </w:r>
      <w:r w:rsidRPr="0058374A">
        <w:t xml:space="preserve">  (FDA part 312)</w:t>
      </w:r>
    </w:p>
    <w:p w14:paraId="2AC3969D" w14:textId="5758EE9E" w:rsidR="003234DD" w:rsidRPr="0058374A" w:rsidRDefault="003234DD" w:rsidP="00232882">
      <w:pPr>
        <w:pStyle w:val="ListParagraph"/>
        <w:spacing w:after="0" w:line="240" w:lineRule="auto"/>
        <w:ind w:left="360" w:right="720"/>
        <w:rPr>
          <w:rFonts w:cs="Arial"/>
          <w:kern w:val="36"/>
        </w:rPr>
      </w:pPr>
    </w:p>
    <w:p w14:paraId="0D5FF424" w14:textId="490CFB05" w:rsidR="003E6F5E" w:rsidRPr="0058374A" w:rsidRDefault="003E2E26" w:rsidP="003E6F5E">
      <w:pPr>
        <w:pStyle w:val="ListParagraph"/>
        <w:spacing w:after="0" w:line="240" w:lineRule="auto"/>
        <w:ind w:left="360" w:right="720"/>
      </w:pPr>
      <w:r w:rsidRPr="0058374A">
        <w:t>INVESTIGATIONAL PRODUCT</w:t>
      </w:r>
      <w:r w:rsidR="004F6D08" w:rsidRPr="0058374A">
        <w:t xml:space="preserve"> (IP)</w:t>
      </w:r>
      <w:r w:rsidRPr="0058374A">
        <w:t xml:space="preserve">: </w:t>
      </w:r>
      <w:r w:rsidR="003E6F5E" w:rsidRPr="00330AC8">
        <w:t>An investigational product refers to a preventative (vaccine), a therape​utic (drug or biologic), device, diagnostic, or palliative used in a clinical trial. An investigational product may be an unlicensed product or a licensed product when used or assembled (formulated or packaged) differently from the approved form, when used for an unapproved indication, or when used to gain further information about an approved use</w:t>
      </w:r>
      <w:r w:rsidR="00C511DE" w:rsidRPr="00330AC8">
        <w:t xml:space="preserve">. </w:t>
      </w:r>
      <w:r w:rsidR="003E6F5E" w:rsidRPr="00330AC8">
        <w:t>(NIH Definitio</w:t>
      </w:r>
      <w:r w:rsidR="003E6F5E" w:rsidRPr="00330AC8">
        <w:t>n)</w:t>
      </w:r>
      <w:r w:rsidR="003E6F5E" w:rsidRPr="00330AC8">
        <w:t xml:space="preserve"> </w:t>
      </w:r>
      <w:r w:rsidR="003E6F5E" w:rsidRPr="0058374A">
        <w:t xml:space="preserve"> </w:t>
      </w:r>
    </w:p>
    <w:p w14:paraId="36009E70" w14:textId="77777777" w:rsidR="003E6F5E" w:rsidRPr="0058374A" w:rsidRDefault="003E6F5E" w:rsidP="003E6F5E">
      <w:pPr>
        <w:pStyle w:val="ListParagraph"/>
        <w:spacing w:after="0" w:line="240" w:lineRule="auto"/>
        <w:ind w:left="360" w:right="720"/>
      </w:pPr>
    </w:p>
    <w:p w14:paraId="66C93FD5" w14:textId="33F908D7" w:rsidR="002E1572" w:rsidRPr="0058374A" w:rsidRDefault="007B68DF" w:rsidP="002E1572">
      <w:pPr>
        <w:pStyle w:val="ListParagraph"/>
        <w:spacing w:after="0" w:line="240" w:lineRule="auto"/>
        <w:ind w:left="360" w:right="720"/>
        <w:rPr>
          <w:rFonts w:cstheme="minorHAnsi"/>
          <w:color w:val="444444"/>
          <w:shd w:val="clear" w:color="auto" w:fill="FFFFFF"/>
        </w:rPr>
      </w:pPr>
      <w:r w:rsidRPr="0058374A">
        <w:t>PRINCIPAL INVESTIGATOR (PI</w:t>
      </w:r>
      <w:r w:rsidRPr="0058374A">
        <w:rPr>
          <w:rFonts w:cstheme="minorHAnsi"/>
        </w:rPr>
        <w:t xml:space="preserve">): </w:t>
      </w:r>
      <w:r w:rsidR="002E1572" w:rsidRPr="00330AC8">
        <w:rPr>
          <w:rFonts w:cstheme="minorHAnsi"/>
          <w:color w:val="444444"/>
          <w:shd w:val="clear" w:color="auto" w:fill="FFFFFF"/>
        </w:rPr>
        <w:t>A Principal Investigator is a doctor who leads the clinical research team and, along with the other members of the research team, regularly monitors study participants’ health to determine the study’s safety and effectiveness.</w:t>
      </w:r>
    </w:p>
    <w:p w14:paraId="73D4EB1B" w14:textId="77777777" w:rsidR="002E1572" w:rsidRPr="00330AC8" w:rsidRDefault="002E1572" w:rsidP="002E1572">
      <w:pPr>
        <w:pStyle w:val="ListParagraph"/>
        <w:spacing w:after="0" w:line="240" w:lineRule="auto"/>
        <w:ind w:left="360" w:right="720"/>
        <w:rPr>
          <w:rFonts w:cstheme="minorHAnsi"/>
          <w:color w:val="444444"/>
          <w:shd w:val="clear" w:color="auto" w:fill="FFFFFF"/>
        </w:rPr>
      </w:pPr>
    </w:p>
    <w:p w14:paraId="491D91D5" w14:textId="4415112A" w:rsidR="00457838" w:rsidRPr="0058374A" w:rsidRDefault="00457838" w:rsidP="002E1572">
      <w:pPr>
        <w:pStyle w:val="ListParagraph"/>
        <w:spacing w:after="0" w:line="240" w:lineRule="auto"/>
        <w:ind w:left="360" w:right="720"/>
        <w:rPr>
          <w:rFonts w:cs="Calibri"/>
          <w:color w:val="000000"/>
          <w:shd w:val="clear" w:color="auto" w:fill="FFFFFF"/>
        </w:rPr>
      </w:pPr>
      <w:r w:rsidRPr="0058374A">
        <w:rPr>
          <w:rFonts w:cs="Calibri"/>
          <w:color w:val="000000"/>
          <w:shd w:val="clear" w:color="auto" w:fill="FFFFFF"/>
        </w:rPr>
        <w:t>SPONSOR: An individual, company, institution, or organization which takes responsibility for the initiation, management, and/or financing of a clinical trial</w:t>
      </w:r>
      <w:r w:rsidR="00BA7C87" w:rsidRPr="0058374A">
        <w:rPr>
          <w:rFonts w:cs="Calibri"/>
          <w:color w:val="000000"/>
          <w:shd w:val="clear" w:color="auto" w:fill="FFFFFF"/>
        </w:rPr>
        <w:t>.</w:t>
      </w:r>
      <w:r w:rsidRPr="0058374A">
        <w:rPr>
          <w:rFonts w:cs="Calibri"/>
          <w:color w:val="000000"/>
          <w:shd w:val="clear" w:color="auto" w:fill="FFFFFF"/>
        </w:rPr>
        <w:t xml:space="preserve"> </w:t>
      </w:r>
      <w:r w:rsidR="0058374A" w:rsidRPr="00330AC8">
        <w:rPr>
          <w:rFonts w:cs="Calibri"/>
          <w:color w:val="000000"/>
          <w:shd w:val="clear" w:color="auto" w:fill="FFFFFF"/>
        </w:rPr>
        <w:t xml:space="preserve">(ICH-GCP </w:t>
      </w:r>
      <w:r w:rsidR="0058374A" w:rsidRPr="00330AC8">
        <w:rPr>
          <w:rFonts w:cs="Calibri"/>
          <w:color w:val="000000"/>
          <w:shd w:val="clear" w:color="auto" w:fill="FFFFFF"/>
        </w:rPr>
        <w:t xml:space="preserve">R2 </w:t>
      </w:r>
      <w:r w:rsidR="0058374A" w:rsidRPr="00330AC8">
        <w:rPr>
          <w:rFonts w:cs="Calibri"/>
          <w:color w:val="000000"/>
          <w:shd w:val="clear" w:color="auto" w:fill="FFFFFF"/>
        </w:rPr>
        <w:t>definition)</w:t>
      </w:r>
    </w:p>
    <w:p w14:paraId="0E7066C2" w14:textId="77777777" w:rsidR="00457838" w:rsidRPr="0058374A" w:rsidRDefault="00457838" w:rsidP="00457838">
      <w:pPr>
        <w:spacing w:after="0" w:line="240" w:lineRule="auto"/>
        <w:ind w:left="360" w:right="720"/>
        <w:rPr>
          <w:rFonts w:cs="Calibri"/>
          <w:color w:val="000000"/>
          <w:shd w:val="clear" w:color="auto" w:fill="FFFFFF"/>
        </w:rPr>
      </w:pPr>
    </w:p>
    <w:p w14:paraId="306DACF6" w14:textId="4FB924C3" w:rsidR="009D5844" w:rsidRPr="00D562A1" w:rsidRDefault="00457838" w:rsidP="00D562A1">
      <w:pPr>
        <w:spacing w:after="0" w:line="240" w:lineRule="auto"/>
        <w:ind w:left="360" w:right="720"/>
        <w:rPr>
          <w:rFonts w:cs="Calibri"/>
          <w:color w:val="000000"/>
          <w:shd w:val="clear" w:color="auto" w:fill="FFFFFF"/>
        </w:rPr>
      </w:pPr>
      <w:r w:rsidRPr="0058374A">
        <w:rPr>
          <w:rFonts w:cs="Calibri"/>
          <w:color w:val="000000"/>
          <w:shd w:val="clear" w:color="auto" w:fill="FFFFFF"/>
        </w:rPr>
        <w:t>SPONSOR-INVESTIGATOR: An individual who both initiates and conducts, alone or with</w:t>
      </w:r>
      <w:r w:rsidRPr="006755D3">
        <w:rPr>
          <w:rFonts w:cs="Calibri"/>
          <w:color w:val="000000"/>
          <w:shd w:val="clear" w:color="auto" w:fill="FFFFFF"/>
        </w:rPr>
        <w:t xml:space="preserve"> others, a clinical trial, and under whose immediate direction the investigational product is administered to, dispensed to, or used by a subject</w:t>
      </w:r>
      <w:r w:rsidR="00BA7C87">
        <w:rPr>
          <w:rFonts w:cs="Calibri"/>
          <w:color w:val="000000"/>
          <w:shd w:val="clear" w:color="auto" w:fill="FFFFFF"/>
        </w:rPr>
        <w:t>.</w:t>
      </w:r>
    </w:p>
    <w:p w14:paraId="65FCF0F6" w14:textId="334E2E8A" w:rsidR="00CD12A1" w:rsidRDefault="002A4DF5" w:rsidP="00CD12A1">
      <w:pPr>
        <w:spacing w:after="0" w:line="240" w:lineRule="auto"/>
        <w:ind w:left="288"/>
        <w:rPr>
          <w:rFonts w:cs="Calibri"/>
          <w:b/>
        </w:rPr>
      </w:pPr>
      <w:r>
        <w:rPr>
          <w:rFonts w:cs="Calibri"/>
          <w:b/>
        </w:rPr>
        <w:t xml:space="preserve"> </w:t>
      </w:r>
      <w:r w:rsidRPr="00CD12A1">
        <w:rPr>
          <w:rFonts w:cs="Calibri"/>
          <w:b/>
        </w:rPr>
        <w:t>(MANDATORY LANGUAGE)</w:t>
      </w:r>
    </w:p>
    <w:p w14:paraId="50FDB12B" w14:textId="77777777" w:rsidR="002A4DF5" w:rsidRDefault="002A4DF5" w:rsidP="00CD12A1">
      <w:pPr>
        <w:spacing w:after="0" w:line="240" w:lineRule="auto"/>
        <w:ind w:left="288"/>
        <w:rPr>
          <w:rFonts w:cs="Calibri"/>
          <w:b/>
        </w:rPr>
      </w:pPr>
    </w:p>
    <w:p w14:paraId="78449270" w14:textId="3E4B3D3A" w:rsidR="00B068E2" w:rsidRDefault="00B068E2" w:rsidP="004F6D08">
      <w:pPr>
        <w:spacing w:after="0" w:line="240" w:lineRule="auto"/>
        <w:ind w:left="360"/>
        <w:rPr>
          <w:rFonts w:ascii="Calibri" w:eastAsia="Calibri" w:hAnsi="Calibri" w:cs="Calibri"/>
          <w:i/>
          <w:color w:val="00B0F0"/>
        </w:rPr>
      </w:pPr>
      <w:r w:rsidRPr="00F1615E">
        <w:rPr>
          <w:rFonts w:cs="Calibri"/>
          <w:i/>
          <w:color w:val="00B0F0"/>
        </w:rPr>
        <w:t xml:space="preserve">[Optional: </w:t>
      </w:r>
      <w:r w:rsidR="003C324F">
        <w:rPr>
          <w:rFonts w:ascii="Calibri" w:eastAsia="Calibri" w:hAnsi="Calibri" w:cs="Calibri"/>
          <w:i/>
          <w:color w:val="00B0F0"/>
          <w:spacing w:val="-1"/>
        </w:rPr>
        <w:t>Insert</w:t>
      </w:r>
      <w:r w:rsidRPr="00F1615E">
        <w:rPr>
          <w:rFonts w:ascii="Calibri" w:eastAsia="Calibri" w:hAnsi="Calibri" w:cs="Calibri"/>
          <w:i/>
          <w:color w:val="00B0F0"/>
          <w:spacing w:val="-1"/>
        </w:rPr>
        <w:t xml:space="preserve"> an</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additional</w:t>
      </w:r>
      <w:r w:rsidR="003C324F">
        <w:rPr>
          <w:rFonts w:ascii="Calibri" w:eastAsia="Calibri" w:hAnsi="Calibri" w:cs="Calibri"/>
          <w:i/>
          <w:color w:val="00B0F0"/>
          <w:spacing w:val="-2"/>
        </w:rPr>
        <w:t xml:space="preserve"> definitions for</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te</w:t>
      </w:r>
      <w:r w:rsidRPr="00F1615E">
        <w:rPr>
          <w:rFonts w:ascii="Calibri" w:eastAsia="Calibri" w:hAnsi="Calibri" w:cs="Calibri"/>
          <w:i/>
          <w:color w:val="00B0F0"/>
          <w:spacing w:val="-1"/>
        </w:rPr>
        <w:t>chn</w:t>
      </w:r>
      <w:r w:rsidRPr="00F1615E">
        <w:rPr>
          <w:rFonts w:ascii="Calibri" w:eastAsia="Calibri" w:hAnsi="Calibri" w:cs="Calibri"/>
          <w:i/>
          <w:color w:val="00B0F0"/>
        </w:rPr>
        <w:t>i</w:t>
      </w:r>
      <w:r w:rsidRPr="00F1615E">
        <w:rPr>
          <w:rFonts w:ascii="Calibri" w:eastAsia="Calibri" w:hAnsi="Calibri" w:cs="Calibri"/>
          <w:i/>
          <w:color w:val="00B0F0"/>
          <w:spacing w:val="-1"/>
        </w:rPr>
        <w:t>ca</w:t>
      </w:r>
      <w:r w:rsidRPr="00F1615E">
        <w:rPr>
          <w:rFonts w:ascii="Calibri" w:eastAsia="Calibri" w:hAnsi="Calibri" w:cs="Calibri"/>
          <w:i/>
          <w:color w:val="00B0F0"/>
        </w:rPr>
        <w:t>l</w:t>
      </w:r>
      <w:r w:rsidRPr="00F1615E">
        <w:rPr>
          <w:rFonts w:ascii="Calibri" w:eastAsia="Calibri" w:hAnsi="Calibri" w:cs="Calibri"/>
          <w:i/>
          <w:color w:val="00B0F0"/>
          <w:spacing w:val="-7"/>
        </w:rPr>
        <w:t xml:space="preserve"> </w:t>
      </w:r>
      <w:r w:rsidRPr="00F1615E">
        <w:rPr>
          <w:rFonts w:ascii="Calibri" w:eastAsia="Calibri" w:hAnsi="Calibri" w:cs="Calibri"/>
          <w:i/>
          <w:color w:val="00B0F0"/>
        </w:rPr>
        <w:t>or</w:t>
      </w:r>
      <w:r w:rsidRPr="00F1615E">
        <w:rPr>
          <w:rFonts w:ascii="Calibri" w:eastAsia="Calibri" w:hAnsi="Calibri" w:cs="Calibri"/>
          <w:i/>
          <w:color w:val="00B0F0"/>
          <w:spacing w:val="-1"/>
        </w:rPr>
        <w:t xml:space="preserve"> </w:t>
      </w:r>
      <w:r w:rsidRPr="00F1615E">
        <w:rPr>
          <w:rFonts w:ascii="Calibri" w:eastAsia="Calibri" w:hAnsi="Calibri" w:cs="Calibri"/>
          <w:i/>
          <w:color w:val="00B0F0"/>
        </w:rPr>
        <w:t>s</w:t>
      </w:r>
      <w:r w:rsidRPr="00F1615E">
        <w:rPr>
          <w:rFonts w:ascii="Calibri" w:eastAsia="Calibri" w:hAnsi="Calibri" w:cs="Calibri"/>
          <w:i/>
          <w:color w:val="00B0F0"/>
          <w:spacing w:val="-1"/>
        </w:rPr>
        <w:t>p</w:t>
      </w:r>
      <w:r w:rsidRPr="00F1615E">
        <w:rPr>
          <w:rFonts w:ascii="Calibri" w:eastAsia="Calibri" w:hAnsi="Calibri" w:cs="Calibri"/>
          <w:i/>
          <w:color w:val="00B0F0"/>
        </w:rPr>
        <w:t>e</w:t>
      </w:r>
      <w:r w:rsidRPr="00F1615E">
        <w:rPr>
          <w:rFonts w:ascii="Calibri" w:eastAsia="Calibri" w:hAnsi="Calibri" w:cs="Calibri"/>
          <w:i/>
          <w:color w:val="00B0F0"/>
          <w:spacing w:val="-1"/>
        </w:rPr>
        <w:t>c</w:t>
      </w:r>
      <w:r w:rsidRPr="00F1615E">
        <w:rPr>
          <w:rFonts w:ascii="Calibri" w:eastAsia="Calibri" w:hAnsi="Calibri" w:cs="Calibri"/>
          <w:i/>
          <w:color w:val="00B0F0"/>
        </w:rPr>
        <w:t>i</w:t>
      </w:r>
      <w:r w:rsidRPr="00F1615E">
        <w:rPr>
          <w:rFonts w:ascii="Calibri" w:eastAsia="Calibri" w:hAnsi="Calibri" w:cs="Calibri"/>
          <w:i/>
          <w:color w:val="00B0F0"/>
          <w:spacing w:val="-1"/>
        </w:rPr>
        <w:t>a</w:t>
      </w:r>
      <w:r w:rsidRPr="00F1615E">
        <w:rPr>
          <w:rFonts w:ascii="Calibri" w:eastAsia="Calibri" w:hAnsi="Calibri" w:cs="Calibri"/>
          <w:i/>
          <w:color w:val="00B0F0"/>
        </w:rPr>
        <w:t>l</w:t>
      </w:r>
      <w:r w:rsidRPr="00F1615E">
        <w:rPr>
          <w:rFonts w:ascii="Calibri" w:eastAsia="Calibri" w:hAnsi="Calibri" w:cs="Calibri"/>
          <w:i/>
          <w:color w:val="00B0F0"/>
          <w:spacing w:val="-4"/>
        </w:rPr>
        <w:t xml:space="preserve"> </w:t>
      </w:r>
      <w:r w:rsidR="003C324F">
        <w:rPr>
          <w:rFonts w:ascii="Calibri" w:eastAsia="Calibri" w:hAnsi="Calibri" w:cs="Calibri"/>
          <w:i/>
          <w:color w:val="00B0F0"/>
        </w:rPr>
        <w:t>terms</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u</w:t>
      </w:r>
      <w:r w:rsidRPr="00F1615E">
        <w:rPr>
          <w:rFonts w:ascii="Calibri" w:eastAsia="Calibri" w:hAnsi="Calibri" w:cs="Calibri"/>
          <w:i/>
          <w:color w:val="00B0F0"/>
        </w:rPr>
        <w:t>sed</w:t>
      </w:r>
      <w:r w:rsidRPr="00F1615E">
        <w:rPr>
          <w:rFonts w:ascii="Calibri" w:eastAsia="Calibri" w:hAnsi="Calibri" w:cs="Calibri"/>
          <w:i/>
          <w:color w:val="00B0F0"/>
          <w:spacing w:val="-5"/>
        </w:rPr>
        <w:t xml:space="preserve"> </w:t>
      </w:r>
      <w:r w:rsidRPr="00F1615E">
        <w:rPr>
          <w:rFonts w:ascii="Calibri" w:eastAsia="Calibri" w:hAnsi="Calibri" w:cs="Calibri"/>
          <w:i/>
          <w:color w:val="00B0F0"/>
        </w:rPr>
        <w:t>wi</w:t>
      </w:r>
      <w:r w:rsidRPr="00F1615E">
        <w:rPr>
          <w:rFonts w:ascii="Calibri" w:eastAsia="Calibri" w:hAnsi="Calibri" w:cs="Calibri"/>
          <w:i/>
          <w:color w:val="00B0F0"/>
          <w:spacing w:val="-2"/>
        </w:rPr>
        <w:t>t</w:t>
      </w:r>
      <w:r w:rsidRPr="00F1615E">
        <w:rPr>
          <w:rFonts w:ascii="Calibri" w:eastAsia="Calibri" w:hAnsi="Calibri" w:cs="Calibri"/>
          <w:i/>
          <w:color w:val="00B0F0"/>
          <w:spacing w:val="-1"/>
        </w:rPr>
        <w:t>h</w:t>
      </w:r>
      <w:r w:rsidRPr="00F1615E">
        <w:rPr>
          <w:rFonts w:ascii="Calibri" w:eastAsia="Calibri" w:hAnsi="Calibri" w:cs="Calibri"/>
          <w:i/>
          <w:color w:val="00B0F0"/>
        </w:rPr>
        <w:t>in</w:t>
      </w:r>
      <w:r w:rsidRPr="00F1615E">
        <w:rPr>
          <w:rFonts w:ascii="Calibri" w:eastAsia="Calibri" w:hAnsi="Calibri" w:cs="Calibri"/>
          <w:i/>
          <w:color w:val="00B0F0"/>
          <w:spacing w:val="-5"/>
        </w:rPr>
        <w:t xml:space="preserve"> </w:t>
      </w:r>
      <w:r>
        <w:rPr>
          <w:rFonts w:ascii="Calibri" w:eastAsia="Calibri" w:hAnsi="Calibri" w:cs="Calibri"/>
          <w:i/>
          <w:color w:val="00B0F0"/>
          <w:spacing w:val="-3"/>
        </w:rPr>
        <w:t xml:space="preserve">the </w:t>
      </w:r>
      <w:r w:rsidR="005E4A9F">
        <w:rPr>
          <w:rFonts w:ascii="Calibri" w:eastAsia="Calibri" w:hAnsi="Calibri" w:cs="Calibri"/>
          <w:i/>
          <w:color w:val="00B0F0"/>
          <w:spacing w:val="-3"/>
        </w:rPr>
        <w:t>Standard Practice Guideline</w:t>
      </w:r>
      <w:r w:rsidRPr="00F1615E">
        <w:rPr>
          <w:rFonts w:ascii="Calibri" w:eastAsia="Calibri" w:hAnsi="Calibri" w:cs="Calibri"/>
          <w:i/>
          <w:color w:val="00B0F0"/>
          <w:spacing w:val="-3"/>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ha</w:t>
      </w:r>
      <w:r w:rsidRPr="00F1615E">
        <w:rPr>
          <w:rFonts w:ascii="Calibri" w:eastAsia="Calibri" w:hAnsi="Calibri" w:cs="Calibri"/>
          <w:i/>
          <w:color w:val="00B0F0"/>
        </w:rPr>
        <w:t>t</w:t>
      </w:r>
      <w:r w:rsidRPr="00F1615E">
        <w:rPr>
          <w:rFonts w:ascii="Calibri" w:eastAsia="Calibri" w:hAnsi="Calibri" w:cs="Calibri"/>
          <w:i/>
          <w:color w:val="00B0F0"/>
          <w:spacing w:val="-4"/>
        </w:rPr>
        <w:t xml:space="preserve"> </w:t>
      </w:r>
      <w:r w:rsidRPr="00F1615E">
        <w:rPr>
          <w:rFonts w:ascii="Calibri" w:eastAsia="Calibri" w:hAnsi="Calibri" w:cs="Calibri"/>
          <w:i/>
          <w:color w:val="00B0F0"/>
        </w:rPr>
        <w:t>m</w:t>
      </w:r>
      <w:r w:rsidRPr="00F1615E">
        <w:rPr>
          <w:rFonts w:ascii="Calibri" w:eastAsia="Calibri" w:hAnsi="Calibri" w:cs="Calibri"/>
          <w:i/>
          <w:color w:val="00B0F0"/>
          <w:spacing w:val="-3"/>
        </w:rPr>
        <w:t>a</w:t>
      </w:r>
      <w:r w:rsidRPr="00F1615E">
        <w:rPr>
          <w:rFonts w:ascii="Calibri" w:eastAsia="Calibri" w:hAnsi="Calibri" w:cs="Calibri"/>
          <w:i/>
          <w:color w:val="00B0F0"/>
        </w:rPr>
        <w:t>y</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no</w:t>
      </w:r>
      <w:r w:rsidRPr="00F1615E">
        <w:rPr>
          <w:rFonts w:ascii="Calibri" w:eastAsia="Calibri" w:hAnsi="Calibri" w:cs="Calibri"/>
          <w:i/>
          <w:color w:val="00B0F0"/>
        </w:rPr>
        <w:t>t</w:t>
      </w:r>
      <w:r w:rsidRPr="00F1615E">
        <w:rPr>
          <w:rFonts w:ascii="Calibri" w:eastAsia="Calibri" w:hAnsi="Calibri" w:cs="Calibri"/>
          <w:i/>
          <w:color w:val="00B0F0"/>
          <w:spacing w:val="-1"/>
        </w:rPr>
        <w:t xml:space="preserve"> be </w:t>
      </w:r>
      <w:r w:rsidRPr="00F1615E">
        <w:rPr>
          <w:rFonts w:ascii="Calibri" w:eastAsia="Calibri" w:hAnsi="Calibri" w:cs="Calibri"/>
          <w:i/>
          <w:color w:val="00B0F0"/>
        </w:rPr>
        <w:t>f</w:t>
      </w:r>
      <w:r w:rsidRPr="00F1615E">
        <w:rPr>
          <w:rFonts w:ascii="Calibri" w:eastAsia="Calibri" w:hAnsi="Calibri" w:cs="Calibri"/>
          <w:i/>
          <w:color w:val="00B0F0"/>
          <w:spacing w:val="-1"/>
        </w:rPr>
        <w:t>a</w:t>
      </w:r>
      <w:r w:rsidRPr="00F1615E">
        <w:rPr>
          <w:rFonts w:ascii="Calibri" w:eastAsia="Calibri" w:hAnsi="Calibri" w:cs="Calibri"/>
          <w:i/>
          <w:color w:val="00B0F0"/>
        </w:rPr>
        <w:t>mili</w:t>
      </w:r>
      <w:r w:rsidRPr="00F1615E">
        <w:rPr>
          <w:rFonts w:ascii="Calibri" w:eastAsia="Calibri" w:hAnsi="Calibri" w:cs="Calibri"/>
          <w:i/>
          <w:color w:val="00B0F0"/>
          <w:spacing w:val="-1"/>
        </w:rPr>
        <w:t>a</w:t>
      </w:r>
      <w:r w:rsidRPr="00F1615E">
        <w:rPr>
          <w:rFonts w:ascii="Calibri" w:eastAsia="Calibri" w:hAnsi="Calibri" w:cs="Calibri"/>
          <w:i/>
          <w:color w:val="00B0F0"/>
        </w:rPr>
        <w:t>r</w:t>
      </w:r>
      <w:r w:rsidRPr="00F1615E">
        <w:rPr>
          <w:rFonts w:ascii="Calibri" w:eastAsia="Calibri" w:hAnsi="Calibri" w:cs="Calibri"/>
          <w:i/>
          <w:color w:val="00B0F0"/>
          <w:spacing w:val="-5"/>
        </w:rPr>
        <w:t xml:space="preserve"> </w:t>
      </w:r>
      <w:r w:rsidRPr="00F1615E">
        <w:rPr>
          <w:rFonts w:ascii="Calibri" w:eastAsia="Calibri" w:hAnsi="Calibri" w:cs="Calibri"/>
          <w:i/>
          <w:color w:val="00B0F0"/>
        </w:rPr>
        <w:t>to</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w:t>
      </w:r>
      <w:r w:rsidRPr="00F1615E">
        <w:rPr>
          <w:rFonts w:ascii="Calibri" w:eastAsia="Calibri" w:hAnsi="Calibri" w:cs="Calibri"/>
          <w:i/>
          <w:color w:val="00B0F0"/>
        </w:rPr>
        <w:t>e</w:t>
      </w:r>
      <w:r w:rsidRPr="00F1615E">
        <w:rPr>
          <w:rFonts w:ascii="Calibri" w:eastAsia="Calibri" w:hAnsi="Calibri" w:cs="Calibri"/>
          <w:i/>
          <w:color w:val="00B0F0"/>
          <w:spacing w:val="-4"/>
        </w:rPr>
        <w:t xml:space="preserve"> </w:t>
      </w:r>
      <w:r w:rsidRPr="00F1615E">
        <w:rPr>
          <w:rFonts w:ascii="Calibri" w:eastAsia="Calibri" w:hAnsi="Calibri" w:cs="Calibri"/>
          <w:i/>
          <w:color w:val="00B0F0"/>
        </w:rPr>
        <w:t>l</w:t>
      </w:r>
      <w:r w:rsidRPr="00F1615E">
        <w:rPr>
          <w:rFonts w:ascii="Calibri" w:eastAsia="Calibri" w:hAnsi="Calibri" w:cs="Calibri"/>
          <w:i/>
          <w:color w:val="00B0F0"/>
          <w:spacing w:val="-1"/>
        </w:rPr>
        <w:t>a</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w:t>
      </w:r>
      <w:r w:rsidRPr="00F1615E">
        <w:rPr>
          <w:rFonts w:ascii="Calibri" w:eastAsia="Calibri" w:hAnsi="Calibri" w:cs="Calibri"/>
          <w:i/>
          <w:color w:val="00B0F0"/>
          <w:spacing w:val="1"/>
        </w:rPr>
        <w:t>r</w:t>
      </w:r>
      <w:r w:rsidRPr="00F1615E">
        <w:rPr>
          <w:rFonts w:ascii="Calibri" w:eastAsia="Calibri" w:hAnsi="Calibri" w:cs="Calibri"/>
          <w:i/>
          <w:color w:val="00B0F0"/>
        </w:rPr>
        <w:t>e</w:t>
      </w:r>
      <w:r w:rsidRPr="00F1615E">
        <w:rPr>
          <w:rFonts w:ascii="Calibri" w:eastAsia="Calibri" w:hAnsi="Calibri" w:cs="Calibri"/>
          <w:i/>
          <w:color w:val="00B0F0"/>
          <w:spacing w:val="-1"/>
        </w:rPr>
        <w:t>ad</w:t>
      </w:r>
      <w:r w:rsidRPr="00F1615E">
        <w:rPr>
          <w:rFonts w:ascii="Calibri" w:eastAsia="Calibri" w:hAnsi="Calibri" w:cs="Calibri"/>
          <w:i/>
          <w:color w:val="00B0F0"/>
          <w:spacing w:val="-2"/>
        </w:rPr>
        <w:t>e</w:t>
      </w:r>
      <w:r w:rsidRPr="00F1615E">
        <w:rPr>
          <w:rFonts w:ascii="Calibri" w:eastAsia="Calibri" w:hAnsi="Calibri" w:cs="Calibri"/>
          <w:i/>
          <w:color w:val="00B0F0"/>
          <w:spacing w:val="1"/>
        </w:rPr>
        <w:t>r</w:t>
      </w:r>
      <w:r w:rsidRPr="00F1615E">
        <w:rPr>
          <w:rFonts w:ascii="Calibri" w:eastAsia="Calibri" w:hAnsi="Calibri" w:cs="Calibri"/>
          <w:i/>
          <w:color w:val="00B0F0"/>
        </w:rPr>
        <w:t>]</w:t>
      </w:r>
    </w:p>
    <w:p w14:paraId="6AB4F741" w14:textId="77777777" w:rsidR="00430F63" w:rsidRPr="006203F4" w:rsidRDefault="00430F63" w:rsidP="00B068E2">
      <w:pPr>
        <w:spacing w:after="0" w:line="240" w:lineRule="auto"/>
        <w:ind w:left="288"/>
        <w:rPr>
          <w:rFonts w:ascii="Calibri" w:eastAsia="Calibri" w:hAnsi="Calibri" w:cs="Calibri"/>
          <w:color w:val="00B0F0"/>
        </w:rPr>
      </w:pPr>
    </w:p>
    <w:p w14:paraId="6ED0FFC4" w14:textId="60A7A1C7" w:rsidR="000074A2" w:rsidRPr="001B6B13" w:rsidRDefault="000074A2" w:rsidP="000074A2">
      <w:pPr>
        <w:spacing w:after="0" w:line="240" w:lineRule="auto"/>
        <w:ind w:left="360"/>
      </w:pPr>
      <w:r w:rsidRPr="001B6B13">
        <w:rPr>
          <w:b/>
        </w:rPr>
        <w:t>Note:</w:t>
      </w:r>
      <w:r w:rsidRPr="001B6B13">
        <w:t xml:space="preserve"> </w:t>
      </w:r>
      <w:r w:rsidR="00F025DD">
        <w:t>Some</w:t>
      </w:r>
      <w:r w:rsidR="00F025DD" w:rsidRPr="001B6B13">
        <w:t xml:space="preserve"> </w:t>
      </w:r>
      <w:r w:rsidRPr="001B6B13">
        <w:t xml:space="preserve">of the definitions above were obtained from the IRBMed Glossary. These definitions were current as of </w:t>
      </w:r>
      <w:r w:rsidR="0058374A">
        <w:t>01</w:t>
      </w:r>
      <w:r w:rsidRPr="001B6B13">
        <w:t>-</w:t>
      </w:r>
      <w:r w:rsidR="0058374A">
        <w:t>Oct</w:t>
      </w:r>
      <w:r w:rsidRPr="001B6B13">
        <w:t>-</w:t>
      </w:r>
      <w:r w:rsidR="0058374A">
        <w:t>20</w:t>
      </w:r>
      <w:r w:rsidR="0058374A">
        <w:t>22</w:t>
      </w:r>
      <w:r w:rsidR="0058374A" w:rsidRPr="001B6B13">
        <w:t xml:space="preserve"> </w:t>
      </w:r>
      <w:r w:rsidRPr="001B6B13">
        <w:t xml:space="preserve">and are subject to change. Please see the </w:t>
      </w:r>
      <w:hyperlink r:id="rId12" w:history="1">
        <w:r w:rsidRPr="001B6B13">
          <w:rPr>
            <w:rStyle w:val="Hyperlink"/>
          </w:rPr>
          <w:t>IRBMed Glossary</w:t>
        </w:r>
      </w:hyperlink>
      <w:r w:rsidRPr="001B6B13">
        <w:t xml:space="preserve"> for the most current definitions and additional guidance.</w:t>
      </w:r>
    </w:p>
    <w:p w14:paraId="3C0132A7" w14:textId="1C438000" w:rsidR="00BE5D18" w:rsidRDefault="00BE5D18" w:rsidP="00BE5D18">
      <w:pPr>
        <w:spacing w:after="0" w:line="240" w:lineRule="auto"/>
        <w:ind w:left="360"/>
      </w:pPr>
      <w:r w:rsidRPr="00893A96">
        <w:rPr>
          <w:rFonts w:cs="Calibri"/>
          <w:b/>
        </w:rPr>
        <w:t>(MANDATORY</w:t>
      </w:r>
      <w:r w:rsidRPr="00B9043B">
        <w:rPr>
          <w:rFonts w:cs="Calibri"/>
          <w:b/>
        </w:rPr>
        <w:t xml:space="preserve"> LANGUAGE)</w:t>
      </w:r>
    </w:p>
    <w:p w14:paraId="001862F2" w14:textId="77777777" w:rsidR="00D03CEF" w:rsidRPr="00D03CEF" w:rsidRDefault="00D03CEF" w:rsidP="00D03CEF">
      <w:pPr>
        <w:widowControl w:val="0"/>
        <w:autoSpaceDE w:val="0"/>
        <w:autoSpaceDN w:val="0"/>
        <w:adjustRightInd w:val="0"/>
        <w:spacing w:after="0" w:line="240" w:lineRule="auto"/>
        <w:ind w:left="360" w:right="720"/>
        <w:rPr>
          <w:rFonts w:cs="Calibri"/>
          <w:spacing w:val="-1"/>
        </w:rPr>
      </w:pPr>
    </w:p>
    <w:p w14:paraId="0BE52062" w14:textId="77777777" w:rsidR="003E74FB" w:rsidRDefault="00695A12" w:rsidP="003169EF">
      <w:pPr>
        <w:pStyle w:val="ListParagraph"/>
        <w:numPr>
          <w:ilvl w:val="0"/>
          <w:numId w:val="1"/>
        </w:numPr>
        <w:spacing w:after="0"/>
        <w:ind w:right="720"/>
        <w:rPr>
          <w:b/>
        </w:rPr>
      </w:pPr>
      <w:r w:rsidRPr="00695A12">
        <w:rPr>
          <w:b/>
        </w:rPr>
        <w:t>ROLES AND RESPONSIBILITIES</w:t>
      </w:r>
    </w:p>
    <w:p w14:paraId="4144FB14" w14:textId="701810A3" w:rsidR="00DD03A6" w:rsidRPr="006203F4" w:rsidRDefault="00BD3334" w:rsidP="003E74FB">
      <w:pPr>
        <w:pStyle w:val="ListParagraph"/>
        <w:spacing w:after="0"/>
        <w:ind w:left="360" w:right="720"/>
      </w:pPr>
      <w:r>
        <w:rPr>
          <w:b/>
        </w:rPr>
        <w:t xml:space="preserve"> </w:t>
      </w:r>
    </w:p>
    <w:p w14:paraId="16ACEE45" w14:textId="326BB855" w:rsidR="007B68DF" w:rsidRPr="00EF6BE3" w:rsidRDefault="007B68DF" w:rsidP="007B68DF">
      <w:pPr>
        <w:widowControl w:val="0"/>
        <w:autoSpaceDE w:val="0"/>
        <w:autoSpaceDN w:val="0"/>
        <w:adjustRightInd w:val="0"/>
        <w:spacing w:after="0" w:line="240" w:lineRule="auto"/>
        <w:ind w:left="360" w:right="720"/>
        <w:rPr>
          <w:rFonts w:cs="Calibri"/>
          <w:b/>
          <w:bCs/>
        </w:rPr>
      </w:pPr>
      <w:r>
        <w:rPr>
          <w:rFonts w:cs="Calibri"/>
          <w:b/>
          <w:bCs/>
        </w:rPr>
        <w:t>Principal Investigator</w:t>
      </w:r>
    </w:p>
    <w:p w14:paraId="7CEAC657" w14:textId="2CB5E00A" w:rsidR="00A506F1" w:rsidRPr="00A506F1" w:rsidRDefault="007B68DF" w:rsidP="00A506F1">
      <w:pPr>
        <w:widowControl w:val="0"/>
        <w:autoSpaceDE w:val="0"/>
        <w:autoSpaceDN w:val="0"/>
        <w:adjustRightInd w:val="0"/>
        <w:spacing w:after="0" w:line="239" w:lineRule="auto"/>
        <w:ind w:left="360" w:right="720"/>
        <w:rPr>
          <w:rFonts w:cs="Calibri"/>
        </w:rPr>
      </w:pPr>
      <w:r w:rsidRPr="00893A96">
        <w:t xml:space="preserve">An individual filling the role of </w:t>
      </w:r>
      <w:r w:rsidRPr="00B54F0E">
        <w:t>Principal Investigator (PI</w:t>
      </w:r>
      <w:r w:rsidR="006D04F3" w:rsidRPr="00B54F0E">
        <w:t>)</w:t>
      </w:r>
      <w:r w:rsidR="006D04F3">
        <w:t xml:space="preserve"> is</w:t>
      </w:r>
      <w:r>
        <w:t xml:space="preserve"> </w:t>
      </w:r>
      <w:r w:rsidR="002951B9" w:rsidRPr="0075575D">
        <w:t xml:space="preserve">ultimately </w:t>
      </w:r>
      <w:r w:rsidR="002951B9" w:rsidRPr="004F6D08">
        <w:rPr>
          <w:i/>
        </w:rPr>
        <w:t>responsible</w:t>
      </w:r>
      <w:r w:rsidR="002951B9">
        <w:t xml:space="preserve"> </w:t>
      </w:r>
      <w:r>
        <w:t xml:space="preserve">for </w:t>
      </w:r>
      <w:r w:rsidR="00A506F1">
        <w:t>the management and accountability of the IP</w:t>
      </w:r>
      <w:r>
        <w:rPr>
          <w:rFonts w:cs="Calibri"/>
        </w:rPr>
        <w:t xml:space="preserve"> </w:t>
      </w:r>
      <w:r w:rsidR="00A506F1">
        <w:rPr>
          <w:rFonts w:cs="Calibri"/>
        </w:rPr>
        <w:t xml:space="preserve">in a </w:t>
      </w:r>
      <w:r>
        <w:rPr>
          <w:rFonts w:cs="Calibri"/>
        </w:rPr>
        <w:t>clinical trial</w:t>
      </w:r>
      <w:r w:rsidR="00A506F1">
        <w:rPr>
          <w:rFonts w:cs="Calibri"/>
        </w:rPr>
        <w:t xml:space="preserve"> at the site. </w:t>
      </w:r>
      <w:r>
        <w:t xml:space="preserve">The </w:t>
      </w:r>
      <w:r w:rsidRPr="00EF6BE3">
        <w:t xml:space="preserve">Principal </w:t>
      </w:r>
      <w:r w:rsidRPr="00EF6BE3">
        <w:lastRenderedPageBreak/>
        <w:t xml:space="preserve">Investigator </w:t>
      </w:r>
      <w:r>
        <w:t>or</w:t>
      </w:r>
      <w:r w:rsidRPr="00893A96">
        <w:t xml:space="preserve"> Designee shall be responsible for the following activities</w:t>
      </w:r>
      <w:r w:rsidRPr="00893A96">
        <w:rPr>
          <w:rFonts w:cs="Calibri"/>
        </w:rPr>
        <w:t xml:space="preserve">: </w:t>
      </w:r>
    </w:p>
    <w:p w14:paraId="0E60FF7E" w14:textId="1206D6D2" w:rsidR="00DD03A6" w:rsidRDefault="00A506F1" w:rsidP="00A506F1">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A</w:t>
      </w:r>
      <w:r w:rsidRPr="00A506F1">
        <w:rPr>
          <w:rFonts w:cs="Times New Roman"/>
        </w:rPr>
        <w:t>ssign</w:t>
      </w:r>
      <w:r w:rsidR="00886D6E">
        <w:rPr>
          <w:rFonts w:cs="Times New Roman"/>
        </w:rPr>
        <w:t>s</w:t>
      </w:r>
      <w:r w:rsidRPr="00A506F1">
        <w:rPr>
          <w:rFonts w:cs="Times New Roman"/>
        </w:rPr>
        <w:t xml:space="preserve"> </w:t>
      </w:r>
      <w:r>
        <w:rPr>
          <w:rFonts w:cs="Times New Roman"/>
        </w:rPr>
        <w:t xml:space="preserve">the </w:t>
      </w:r>
      <w:r w:rsidRPr="00A506F1">
        <w:rPr>
          <w:rFonts w:cs="Times New Roman"/>
        </w:rPr>
        <w:t xml:space="preserve">duties for investigational </w:t>
      </w:r>
      <w:r>
        <w:rPr>
          <w:rFonts w:cs="Times New Roman"/>
        </w:rPr>
        <w:t>drug accountability</w:t>
      </w:r>
      <w:r w:rsidRPr="00A506F1">
        <w:rPr>
          <w:rFonts w:cs="Times New Roman"/>
        </w:rPr>
        <w:t xml:space="preserve"> </w:t>
      </w:r>
      <w:r w:rsidR="00F43AE2">
        <w:rPr>
          <w:rFonts w:cs="Times New Roman"/>
        </w:rPr>
        <w:t xml:space="preserve">to the </w:t>
      </w:r>
      <w:r w:rsidR="00993938">
        <w:rPr>
          <w:rFonts w:cs="Times New Roman"/>
        </w:rPr>
        <w:t xml:space="preserve">The University of Michigan </w:t>
      </w:r>
      <w:r w:rsidR="006D04F3">
        <w:rPr>
          <w:rFonts w:cs="Times New Roman"/>
        </w:rPr>
        <w:t>Research Pharmacy</w:t>
      </w:r>
      <w:r w:rsidR="00886D6E">
        <w:rPr>
          <w:rFonts w:cs="Times New Roman"/>
        </w:rPr>
        <w:t xml:space="preserve"> or a similar organization that complies with local, </w:t>
      </w:r>
      <w:r w:rsidR="00C511DE">
        <w:rPr>
          <w:rFonts w:cs="Times New Roman"/>
        </w:rPr>
        <w:t>state,</w:t>
      </w:r>
      <w:r w:rsidR="00886D6E">
        <w:rPr>
          <w:rFonts w:cs="Times New Roman"/>
        </w:rPr>
        <w:t xml:space="preserve"> and federal laws</w:t>
      </w:r>
    </w:p>
    <w:p w14:paraId="48C1C9B0" w14:textId="57DE5BAC" w:rsidR="0000388C" w:rsidRDefault="00A506F1" w:rsidP="0000388C">
      <w:pPr>
        <w:pStyle w:val="ListParagraph"/>
        <w:widowControl w:val="0"/>
        <w:numPr>
          <w:ilvl w:val="0"/>
          <w:numId w:val="16"/>
        </w:numPr>
        <w:autoSpaceDE w:val="0"/>
        <w:autoSpaceDN w:val="0"/>
        <w:adjustRightInd w:val="0"/>
        <w:spacing w:after="0" w:line="239" w:lineRule="auto"/>
        <w:ind w:right="720"/>
        <w:rPr>
          <w:rFonts w:cs="Times New Roman"/>
        </w:rPr>
      </w:pPr>
      <w:r w:rsidRPr="00A506F1">
        <w:rPr>
          <w:rFonts w:cs="Times New Roman"/>
        </w:rPr>
        <w:t xml:space="preserve">Ensures proper steps are taken to obtain a waiver </w:t>
      </w:r>
      <w:r w:rsidR="0000388C">
        <w:rPr>
          <w:rFonts w:cs="Times New Roman"/>
        </w:rPr>
        <w:t>when not utili</w:t>
      </w:r>
      <w:r w:rsidR="00F43AE2">
        <w:rPr>
          <w:rFonts w:cs="Times New Roman"/>
        </w:rPr>
        <w:t xml:space="preserve">zing the </w:t>
      </w:r>
      <w:r w:rsidR="00993938">
        <w:rPr>
          <w:rFonts w:cs="Times New Roman"/>
        </w:rPr>
        <w:t xml:space="preserve">University of Michigan </w:t>
      </w:r>
      <w:r w:rsidR="00F43AE2">
        <w:rPr>
          <w:rFonts w:cs="Times New Roman"/>
        </w:rPr>
        <w:t>Research Pharmacy</w:t>
      </w:r>
      <w:r w:rsidR="007B4479">
        <w:rPr>
          <w:rFonts w:cs="Times New Roman"/>
        </w:rPr>
        <w:t xml:space="preserve"> for the Investigational </w:t>
      </w:r>
      <w:r w:rsidR="003640F5">
        <w:rPr>
          <w:rFonts w:cs="Times New Roman"/>
        </w:rPr>
        <w:t>Drug</w:t>
      </w:r>
    </w:p>
    <w:p w14:paraId="6B09E283" w14:textId="4542F83F" w:rsidR="003262BD" w:rsidRPr="00CE503C" w:rsidRDefault="00A341CD" w:rsidP="00CE503C">
      <w:pPr>
        <w:pStyle w:val="ListParagraph"/>
        <w:widowControl w:val="0"/>
        <w:numPr>
          <w:ilvl w:val="0"/>
          <w:numId w:val="16"/>
        </w:numPr>
        <w:autoSpaceDE w:val="0"/>
        <w:autoSpaceDN w:val="0"/>
        <w:adjustRightInd w:val="0"/>
        <w:spacing w:after="0" w:line="239" w:lineRule="auto"/>
        <w:ind w:right="720"/>
        <w:rPr>
          <w:rFonts w:cs="Calibri"/>
        </w:rPr>
      </w:pPr>
      <w:r>
        <w:rPr>
          <w:rFonts w:cs="Times New Roman"/>
        </w:rPr>
        <w:t>E</w:t>
      </w:r>
      <w:r w:rsidR="0000388C" w:rsidRPr="00B371FA">
        <w:rPr>
          <w:rFonts w:cs="Times New Roman"/>
        </w:rPr>
        <w:t xml:space="preserve">nsures the </w:t>
      </w:r>
      <w:r w:rsidR="00A27B03">
        <w:rPr>
          <w:rFonts w:cs="Times New Roman"/>
        </w:rPr>
        <w:t xml:space="preserve">clinical research </w:t>
      </w:r>
      <w:r w:rsidR="0000388C" w:rsidRPr="00B371FA">
        <w:rPr>
          <w:rFonts w:cs="Times New Roman"/>
        </w:rPr>
        <w:t xml:space="preserve">team follows all </w:t>
      </w:r>
      <w:r w:rsidR="00F43AE2" w:rsidRPr="00B371FA">
        <w:rPr>
          <w:rFonts w:cs="Times New Roman"/>
        </w:rPr>
        <w:t xml:space="preserve">local, </w:t>
      </w:r>
      <w:r w:rsidR="0000388C" w:rsidRPr="00B371FA">
        <w:rPr>
          <w:rFonts w:cs="Times New Roman"/>
        </w:rPr>
        <w:t>state</w:t>
      </w:r>
      <w:r w:rsidR="00F43AE2" w:rsidRPr="00B371FA">
        <w:rPr>
          <w:rFonts w:cs="Times New Roman"/>
        </w:rPr>
        <w:t>,</w:t>
      </w:r>
      <w:r w:rsidR="0000388C" w:rsidRPr="00B371FA">
        <w:rPr>
          <w:rFonts w:cs="Times New Roman"/>
        </w:rPr>
        <w:t xml:space="preserve"> and </w:t>
      </w:r>
      <w:r w:rsidR="00886D6E">
        <w:rPr>
          <w:rFonts w:cs="Times New Roman"/>
        </w:rPr>
        <w:t>f</w:t>
      </w:r>
      <w:r w:rsidR="0000388C" w:rsidRPr="00B371FA">
        <w:rPr>
          <w:rFonts w:cs="Times New Roman"/>
        </w:rPr>
        <w:t xml:space="preserve">ederal requirements </w:t>
      </w:r>
      <w:r>
        <w:rPr>
          <w:rFonts w:cs="Times New Roman"/>
        </w:rPr>
        <w:t xml:space="preserve">when not utilizing the </w:t>
      </w:r>
      <w:r w:rsidR="00CE503C">
        <w:rPr>
          <w:rFonts w:cs="Times New Roman"/>
        </w:rPr>
        <w:t xml:space="preserve">Michigan Medicine </w:t>
      </w:r>
      <w:r>
        <w:rPr>
          <w:rFonts w:cs="Times New Roman"/>
        </w:rPr>
        <w:t>Research Pharmacy for the Investigational Drug</w:t>
      </w:r>
      <w:r w:rsidR="00CE503C">
        <w:rPr>
          <w:rFonts w:cs="Times New Roman"/>
        </w:rPr>
        <w:t xml:space="preserve"> </w:t>
      </w:r>
      <w:r w:rsidR="0000388C" w:rsidRPr="00CE503C">
        <w:rPr>
          <w:rFonts w:cs="Times New Roman"/>
        </w:rPr>
        <w:t xml:space="preserve">See Research Pharmacy </w:t>
      </w:r>
      <w:r w:rsidR="00BF2381" w:rsidRPr="00CE503C">
        <w:rPr>
          <w:rFonts w:cs="Times New Roman"/>
        </w:rPr>
        <w:t>P</w:t>
      </w:r>
      <w:r w:rsidR="0000388C" w:rsidRPr="00CE503C">
        <w:rPr>
          <w:rFonts w:cs="Times New Roman"/>
        </w:rPr>
        <w:t>olicy 400.05</w:t>
      </w:r>
      <w:r w:rsidR="00915CEB" w:rsidRPr="00CE503C">
        <w:rPr>
          <w:rFonts w:cs="Times New Roman"/>
        </w:rPr>
        <w:t>:</w:t>
      </w:r>
    </w:p>
    <w:p w14:paraId="2913C6E5" w14:textId="215FB62D" w:rsidR="00E86779" w:rsidRDefault="00353FCE" w:rsidP="003262BD">
      <w:pPr>
        <w:pStyle w:val="ListParagraph"/>
        <w:widowControl w:val="0"/>
        <w:autoSpaceDE w:val="0"/>
        <w:autoSpaceDN w:val="0"/>
        <w:adjustRightInd w:val="0"/>
        <w:spacing w:after="0" w:line="239" w:lineRule="auto"/>
        <w:ind w:left="1260" w:right="720"/>
      </w:pPr>
      <w:hyperlink r:id="rId13" w:history="1">
        <w:r w:rsidR="00E86779" w:rsidRPr="00350331">
          <w:rPr>
            <w:rStyle w:val="Hyperlink"/>
          </w:rPr>
          <w:t>https://michmed-clinical.policystat.com/policy/7415063/latest/</w:t>
        </w:r>
      </w:hyperlink>
      <w:r w:rsidR="00E86779">
        <w:t>.</w:t>
      </w:r>
    </w:p>
    <w:p w14:paraId="51873E65" w14:textId="78BE7176" w:rsidR="0000388C" w:rsidRPr="00E86779" w:rsidRDefault="00C15720" w:rsidP="00E86779">
      <w:pPr>
        <w:widowControl w:val="0"/>
        <w:autoSpaceDE w:val="0"/>
        <w:autoSpaceDN w:val="0"/>
        <w:adjustRightInd w:val="0"/>
        <w:spacing w:after="0" w:line="239" w:lineRule="auto"/>
        <w:ind w:left="540" w:right="720" w:firstLine="720"/>
        <w:rPr>
          <w:rStyle w:val="Hyperlink"/>
          <w:rFonts w:cs="Calibri"/>
          <w:color w:val="auto"/>
          <w:u w:val="none"/>
        </w:rPr>
      </w:pPr>
      <w:r w:rsidRPr="00E86779">
        <w:rPr>
          <w:rStyle w:val="Hyperlink"/>
          <w:rFonts w:cs="Calibri"/>
          <w:color w:val="auto"/>
          <w:u w:val="none"/>
        </w:rPr>
        <w:t>(Note: This includes audits by the Research Pharmac</w:t>
      </w:r>
      <w:r w:rsidR="00A341CD" w:rsidRPr="00E86779">
        <w:rPr>
          <w:rStyle w:val="Hyperlink"/>
          <w:rFonts w:cs="Calibri"/>
          <w:color w:val="auto"/>
          <w:u w:val="none"/>
        </w:rPr>
        <w:t>y</w:t>
      </w:r>
      <w:r w:rsidRPr="00E86779">
        <w:rPr>
          <w:rStyle w:val="Hyperlink"/>
          <w:rFonts w:cs="Calibri"/>
          <w:color w:val="auto"/>
          <w:u w:val="none"/>
        </w:rPr>
        <w:t>.)</w:t>
      </w:r>
      <w:r w:rsidR="003262BD" w:rsidRPr="00E86779">
        <w:rPr>
          <w:rStyle w:val="Hyperlink"/>
          <w:rFonts w:cs="Calibri"/>
          <w:color w:val="auto"/>
          <w:u w:val="none"/>
        </w:rPr>
        <w:t xml:space="preserve"> </w:t>
      </w:r>
    </w:p>
    <w:p w14:paraId="3F7FBAED" w14:textId="7B24FB92" w:rsidR="00887FAC" w:rsidRPr="00887FAC" w:rsidRDefault="00887FAC" w:rsidP="001C5ABB">
      <w:pPr>
        <w:pStyle w:val="ListParagraph"/>
        <w:widowControl w:val="0"/>
        <w:numPr>
          <w:ilvl w:val="0"/>
          <w:numId w:val="16"/>
        </w:numPr>
        <w:autoSpaceDE w:val="0"/>
        <w:autoSpaceDN w:val="0"/>
        <w:adjustRightInd w:val="0"/>
        <w:spacing w:after="0" w:line="239" w:lineRule="auto"/>
        <w:ind w:right="720"/>
        <w:rPr>
          <w:rStyle w:val="Hyperlink"/>
          <w:rFonts w:cs="Calibri"/>
          <w:color w:val="auto"/>
          <w:u w:val="none"/>
        </w:rPr>
      </w:pPr>
      <w:r>
        <w:rPr>
          <w:rStyle w:val="Hyperlink"/>
          <w:rFonts w:cs="Calibri"/>
          <w:color w:val="auto"/>
          <w:u w:val="none"/>
        </w:rPr>
        <w:t>Ensures Investigational Product (IP) is properly labeled</w:t>
      </w:r>
      <w:r w:rsidR="00F2303A">
        <w:rPr>
          <w:rStyle w:val="Hyperlink"/>
          <w:rFonts w:cs="Calibri"/>
          <w:color w:val="auto"/>
          <w:u w:val="none"/>
        </w:rPr>
        <w:t xml:space="preserve"> according to regulatory requirements</w:t>
      </w:r>
    </w:p>
    <w:p w14:paraId="07639D6F" w14:textId="5E70F756" w:rsidR="002D119D" w:rsidRDefault="002D119D" w:rsidP="002D119D">
      <w:pPr>
        <w:pStyle w:val="ListParagraph"/>
        <w:widowControl w:val="0"/>
        <w:numPr>
          <w:ilvl w:val="0"/>
          <w:numId w:val="16"/>
        </w:numPr>
        <w:autoSpaceDE w:val="0"/>
        <w:autoSpaceDN w:val="0"/>
        <w:adjustRightInd w:val="0"/>
        <w:spacing w:after="0" w:line="239" w:lineRule="auto"/>
        <w:ind w:right="720"/>
        <w:rPr>
          <w:rStyle w:val="Hyperlink"/>
          <w:rFonts w:cs="Calibri"/>
          <w:color w:val="auto"/>
          <w:u w:val="none"/>
        </w:rPr>
      </w:pPr>
      <w:r>
        <w:rPr>
          <w:rStyle w:val="Hyperlink"/>
          <w:rFonts w:cs="Calibri"/>
          <w:color w:val="auto"/>
          <w:u w:val="none"/>
        </w:rPr>
        <w:t>Provides authorization to begin and discontinue distribution of the Investigational Product</w:t>
      </w:r>
      <w:r w:rsidR="00A871EB">
        <w:rPr>
          <w:rStyle w:val="Hyperlink"/>
          <w:rFonts w:cs="Calibri"/>
          <w:color w:val="auto"/>
          <w:u w:val="none"/>
        </w:rPr>
        <w:t xml:space="preserve"> (IP)</w:t>
      </w:r>
      <w:r>
        <w:rPr>
          <w:rStyle w:val="Hyperlink"/>
          <w:rFonts w:cs="Calibri"/>
          <w:color w:val="auto"/>
          <w:u w:val="none"/>
        </w:rPr>
        <w:t xml:space="preserve"> to </w:t>
      </w:r>
      <w:r w:rsidR="00CE043F">
        <w:rPr>
          <w:rStyle w:val="Hyperlink"/>
          <w:rFonts w:cs="Calibri"/>
          <w:color w:val="auto"/>
          <w:u w:val="none"/>
        </w:rPr>
        <w:t>participating</w:t>
      </w:r>
      <w:r>
        <w:rPr>
          <w:rStyle w:val="Hyperlink"/>
          <w:rFonts w:cs="Calibri"/>
          <w:color w:val="auto"/>
          <w:u w:val="none"/>
        </w:rPr>
        <w:t xml:space="preserve"> sites</w:t>
      </w:r>
    </w:p>
    <w:p w14:paraId="632D56CF" w14:textId="320F892B" w:rsidR="00F43AE2" w:rsidRPr="00B371FA" w:rsidRDefault="00F43AE2" w:rsidP="0000388C">
      <w:pPr>
        <w:pStyle w:val="ListParagraph"/>
        <w:widowControl w:val="0"/>
        <w:numPr>
          <w:ilvl w:val="0"/>
          <w:numId w:val="16"/>
        </w:numPr>
        <w:autoSpaceDE w:val="0"/>
        <w:autoSpaceDN w:val="0"/>
        <w:adjustRightInd w:val="0"/>
        <w:spacing w:after="0" w:line="239" w:lineRule="auto"/>
        <w:ind w:right="720"/>
        <w:rPr>
          <w:rStyle w:val="Hyperlink"/>
          <w:rFonts w:cs="Times New Roman"/>
          <w:color w:val="auto"/>
          <w:u w:val="none"/>
        </w:rPr>
      </w:pPr>
      <w:r w:rsidRPr="00B371FA">
        <w:rPr>
          <w:rStyle w:val="Hyperlink"/>
          <w:rFonts w:cs="Calibri"/>
          <w:color w:val="auto"/>
          <w:u w:val="none"/>
        </w:rPr>
        <w:t xml:space="preserve">Authorizes and delegates </w:t>
      </w:r>
      <w:r w:rsidR="009D75F5">
        <w:rPr>
          <w:rStyle w:val="Hyperlink"/>
          <w:rFonts w:cs="Calibri"/>
          <w:color w:val="auto"/>
          <w:u w:val="none"/>
        </w:rPr>
        <w:t xml:space="preserve">to </w:t>
      </w:r>
      <w:r w:rsidRPr="00B371FA">
        <w:rPr>
          <w:rStyle w:val="Hyperlink"/>
          <w:rFonts w:cs="Calibri"/>
          <w:color w:val="auto"/>
          <w:u w:val="none"/>
        </w:rPr>
        <w:t xml:space="preserve">individuals </w:t>
      </w:r>
      <w:r w:rsidR="009D75F5">
        <w:rPr>
          <w:rStyle w:val="Hyperlink"/>
          <w:rFonts w:cs="Calibri"/>
          <w:color w:val="auto"/>
          <w:u w:val="none"/>
        </w:rPr>
        <w:t xml:space="preserve">the authority to </w:t>
      </w:r>
      <w:r w:rsidR="006D04F3" w:rsidRPr="00B371FA">
        <w:rPr>
          <w:rStyle w:val="Hyperlink"/>
          <w:rFonts w:cs="Calibri"/>
          <w:color w:val="auto"/>
          <w:u w:val="none"/>
        </w:rPr>
        <w:t>prescribe</w:t>
      </w:r>
      <w:r w:rsidRPr="00B371FA">
        <w:rPr>
          <w:rStyle w:val="Hyperlink"/>
          <w:rFonts w:cs="Calibri"/>
          <w:color w:val="auto"/>
          <w:u w:val="none"/>
        </w:rPr>
        <w:t xml:space="preserve"> IP </w:t>
      </w:r>
    </w:p>
    <w:p w14:paraId="0B39679D" w14:textId="4D10EE7F" w:rsidR="00F43AE2" w:rsidRPr="00B371FA" w:rsidRDefault="00F43AE2" w:rsidP="0000388C">
      <w:pPr>
        <w:pStyle w:val="ListParagraph"/>
        <w:widowControl w:val="0"/>
        <w:numPr>
          <w:ilvl w:val="0"/>
          <w:numId w:val="16"/>
        </w:numPr>
        <w:autoSpaceDE w:val="0"/>
        <w:autoSpaceDN w:val="0"/>
        <w:adjustRightInd w:val="0"/>
        <w:spacing w:after="0" w:line="239" w:lineRule="auto"/>
        <w:ind w:right="720"/>
        <w:rPr>
          <w:rStyle w:val="Hyperlink"/>
          <w:rFonts w:cs="Times New Roman"/>
          <w:color w:val="auto"/>
          <w:u w:val="none"/>
        </w:rPr>
      </w:pPr>
      <w:r w:rsidRPr="00B371FA">
        <w:rPr>
          <w:rStyle w:val="Hyperlink"/>
          <w:rFonts w:cs="Calibri"/>
          <w:color w:val="auto"/>
          <w:u w:val="none"/>
        </w:rPr>
        <w:t xml:space="preserve">Ensures that the IP is only dispensed according to the approved protocol and to </w:t>
      </w:r>
      <w:r w:rsidR="00A836F6" w:rsidRPr="00B371FA">
        <w:rPr>
          <w:rStyle w:val="Hyperlink"/>
          <w:rFonts w:cs="Calibri"/>
          <w:color w:val="auto"/>
          <w:u w:val="none"/>
        </w:rPr>
        <w:t>participants</w:t>
      </w:r>
      <w:r w:rsidRPr="00B371FA">
        <w:rPr>
          <w:rStyle w:val="Hyperlink"/>
          <w:rFonts w:cs="Calibri"/>
          <w:color w:val="auto"/>
          <w:u w:val="none"/>
        </w:rPr>
        <w:t xml:space="preserve"> that are </w:t>
      </w:r>
      <w:r w:rsidR="00A836F6" w:rsidRPr="00B371FA">
        <w:rPr>
          <w:rStyle w:val="Hyperlink"/>
          <w:rFonts w:cs="Calibri"/>
          <w:color w:val="auto"/>
          <w:u w:val="none"/>
        </w:rPr>
        <w:t>appropriate</w:t>
      </w:r>
    </w:p>
    <w:p w14:paraId="30BC18AA" w14:textId="751BC383" w:rsidR="00A836F6" w:rsidRPr="00B371FA" w:rsidRDefault="009D75F5" w:rsidP="0000388C">
      <w:pPr>
        <w:pStyle w:val="ListParagraph"/>
        <w:widowControl w:val="0"/>
        <w:numPr>
          <w:ilvl w:val="0"/>
          <w:numId w:val="16"/>
        </w:numPr>
        <w:autoSpaceDE w:val="0"/>
        <w:autoSpaceDN w:val="0"/>
        <w:adjustRightInd w:val="0"/>
        <w:spacing w:after="0" w:line="239" w:lineRule="auto"/>
        <w:ind w:right="720"/>
        <w:rPr>
          <w:rStyle w:val="Hyperlink"/>
          <w:rFonts w:cs="Times New Roman"/>
          <w:color w:val="auto"/>
          <w:u w:val="none"/>
        </w:rPr>
      </w:pPr>
      <w:r>
        <w:rPr>
          <w:rStyle w:val="Hyperlink"/>
          <w:rFonts w:cs="Calibri"/>
          <w:color w:val="auto"/>
          <w:u w:val="none"/>
        </w:rPr>
        <w:t>F</w:t>
      </w:r>
      <w:r w:rsidR="00A836F6" w:rsidRPr="00B371FA">
        <w:rPr>
          <w:rStyle w:val="Hyperlink"/>
          <w:rFonts w:cs="Calibri"/>
          <w:color w:val="auto"/>
          <w:u w:val="none"/>
        </w:rPr>
        <w:t xml:space="preserve">ollows all </w:t>
      </w:r>
      <w:r>
        <w:rPr>
          <w:rStyle w:val="Hyperlink"/>
          <w:rFonts w:cs="Calibri"/>
          <w:color w:val="auto"/>
          <w:u w:val="none"/>
        </w:rPr>
        <w:t xml:space="preserve">applicable </w:t>
      </w:r>
      <w:r w:rsidR="00A836F6" w:rsidRPr="00B371FA">
        <w:rPr>
          <w:rStyle w:val="Hyperlink"/>
          <w:rFonts w:cs="Calibri"/>
          <w:color w:val="auto"/>
          <w:u w:val="none"/>
        </w:rPr>
        <w:t>randomization procedures</w:t>
      </w:r>
      <w:r w:rsidR="00BF2381">
        <w:rPr>
          <w:rStyle w:val="Hyperlink"/>
          <w:rFonts w:cs="Calibri"/>
          <w:color w:val="auto"/>
          <w:u w:val="none"/>
        </w:rPr>
        <w:t xml:space="preserve">, </w:t>
      </w:r>
      <w:r w:rsidR="000444B7">
        <w:rPr>
          <w:rStyle w:val="Hyperlink"/>
          <w:rFonts w:cs="Calibri"/>
          <w:color w:val="auto"/>
          <w:u w:val="none"/>
        </w:rPr>
        <w:t xml:space="preserve">including </w:t>
      </w:r>
      <w:r w:rsidR="00F20B61">
        <w:rPr>
          <w:rStyle w:val="Hyperlink"/>
          <w:rFonts w:cs="Calibri"/>
          <w:color w:val="auto"/>
          <w:u w:val="none"/>
        </w:rPr>
        <w:t>unblinding/unmasking of IP</w:t>
      </w:r>
    </w:p>
    <w:p w14:paraId="31A08011" w14:textId="5A926641" w:rsidR="00A836F6" w:rsidRPr="00B371FA" w:rsidRDefault="00A836F6" w:rsidP="0000388C">
      <w:pPr>
        <w:pStyle w:val="ListParagraph"/>
        <w:widowControl w:val="0"/>
        <w:numPr>
          <w:ilvl w:val="0"/>
          <w:numId w:val="16"/>
        </w:numPr>
        <w:autoSpaceDE w:val="0"/>
        <w:autoSpaceDN w:val="0"/>
        <w:adjustRightInd w:val="0"/>
        <w:spacing w:after="0" w:line="239" w:lineRule="auto"/>
        <w:ind w:right="720"/>
        <w:rPr>
          <w:rStyle w:val="Hyperlink"/>
          <w:rFonts w:cs="Times New Roman"/>
          <w:color w:val="auto"/>
          <w:u w:val="none"/>
        </w:rPr>
      </w:pPr>
      <w:r w:rsidRPr="00B371FA">
        <w:rPr>
          <w:rStyle w:val="Hyperlink"/>
          <w:rFonts w:cs="Calibri"/>
          <w:color w:val="auto"/>
          <w:u w:val="none"/>
        </w:rPr>
        <w:t>Ensures that participants understand the correct use of the IP and provides IRBMED approved patient education material when necessary</w:t>
      </w:r>
    </w:p>
    <w:p w14:paraId="4D470695" w14:textId="27332ABA" w:rsidR="00F43AE2" w:rsidRPr="00B371FA" w:rsidRDefault="00A836F6" w:rsidP="0000388C">
      <w:pPr>
        <w:pStyle w:val="ListParagraph"/>
        <w:widowControl w:val="0"/>
        <w:numPr>
          <w:ilvl w:val="0"/>
          <w:numId w:val="16"/>
        </w:numPr>
        <w:autoSpaceDE w:val="0"/>
        <w:autoSpaceDN w:val="0"/>
        <w:adjustRightInd w:val="0"/>
        <w:spacing w:after="0" w:line="239" w:lineRule="auto"/>
        <w:ind w:right="720"/>
        <w:rPr>
          <w:rFonts w:cs="Times New Roman"/>
        </w:rPr>
      </w:pPr>
      <w:r w:rsidRPr="00B371FA">
        <w:rPr>
          <w:rFonts w:cs="Times New Roman"/>
        </w:rPr>
        <w:t>Maintains</w:t>
      </w:r>
      <w:r w:rsidR="000444B7">
        <w:rPr>
          <w:rFonts w:cs="Times New Roman"/>
        </w:rPr>
        <w:t xml:space="preserve"> a</w:t>
      </w:r>
      <w:r w:rsidRPr="00B371FA">
        <w:rPr>
          <w:rFonts w:cs="Times New Roman"/>
        </w:rPr>
        <w:t xml:space="preserve"> record of the I</w:t>
      </w:r>
      <w:r w:rsidR="004F6D08">
        <w:rPr>
          <w:rFonts w:cs="Times New Roman"/>
        </w:rPr>
        <w:t xml:space="preserve">nvestigational </w:t>
      </w:r>
      <w:r w:rsidRPr="00B371FA">
        <w:rPr>
          <w:rFonts w:cs="Times New Roman"/>
        </w:rPr>
        <w:t>P</w:t>
      </w:r>
      <w:r w:rsidR="004F6D08">
        <w:rPr>
          <w:rFonts w:cs="Times New Roman"/>
        </w:rPr>
        <w:t>roduct (IP)</w:t>
      </w:r>
      <w:r w:rsidRPr="00B371FA">
        <w:rPr>
          <w:rFonts w:cs="Times New Roman"/>
        </w:rPr>
        <w:t xml:space="preserve"> return</w:t>
      </w:r>
      <w:r w:rsidR="000444B7">
        <w:rPr>
          <w:rFonts w:cs="Times New Roman"/>
        </w:rPr>
        <w:t>ed</w:t>
      </w:r>
      <w:r w:rsidRPr="00B371FA">
        <w:rPr>
          <w:rFonts w:cs="Times New Roman"/>
        </w:rPr>
        <w:t xml:space="preserve"> from participants</w:t>
      </w:r>
      <w:r w:rsidR="000444B7">
        <w:rPr>
          <w:rFonts w:cs="Times New Roman"/>
        </w:rPr>
        <w:t>,</w:t>
      </w:r>
      <w:r w:rsidRPr="00B371FA">
        <w:rPr>
          <w:rFonts w:cs="Times New Roman"/>
        </w:rPr>
        <w:t xml:space="preserve"> and</w:t>
      </w:r>
      <w:r w:rsidR="000444B7">
        <w:rPr>
          <w:rFonts w:cs="Times New Roman"/>
        </w:rPr>
        <w:t xml:space="preserve"> ensures </w:t>
      </w:r>
      <w:r w:rsidR="003B189E">
        <w:rPr>
          <w:rFonts w:cs="Times New Roman"/>
        </w:rPr>
        <w:t xml:space="preserve">(when necessary) </w:t>
      </w:r>
      <w:r w:rsidR="000444B7">
        <w:rPr>
          <w:rFonts w:cs="Times New Roman"/>
        </w:rPr>
        <w:t xml:space="preserve">they are delivered </w:t>
      </w:r>
      <w:r w:rsidRPr="00B371FA">
        <w:rPr>
          <w:rFonts w:cs="Times New Roman"/>
        </w:rPr>
        <w:t xml:space="preserve">to the </w:t>
      </w:r>
      <w:r w:rsidR="005E6806">
        <w:rPr>
          <w:rFonts w:cs="Times New Roman"/>
        </w:rPr>
        <w:t>appropriate department i.e. research pharmacy</w:t>
      </w:r>
      <w:r w:rsidR="003640F5">
        <w:rPr>
          <w:rFonts w:cs="Times New Roman"/>
        </w:rPr>
        <w:t xml:space="preserve"> or Sponsor</w:t>
      </w:r>
    </w:p>
    <w:p w14:paraId="3B550468" w14:textId="41153630" w:rsidR="00A836F6" w:rsidRDefault="00A836F6" w:rsidP="0000388C">
      <w:pPr>
        <w:pStyle w:val="ListParagraph"/>
        <w:widowControl w:val="0"/>
        <w:numPr>
          <w:ilvl w:val="0"/>
          <w:numId w:val="16"/>
        </w:numPr>
        <w:autoSpaceDE w:val="0"/>
        <w:autoSpaceDN w:val="0"/>
        <w:adjustRightInd w:val="0"/>
        <w:spacing w:after="0" w:line="239" w:lineRule="auto"/>
        <w:ind w:right="720"/>
        <w:rPr>
          <w:rFonts w:cs="Times New Roman"/>
        </w:rPr>
      </w:pPr>
      <w:r w:rsidRPr="00B371FA">
        <w:rPr>
          <w:rFonts w:cs="Times New Roman"/>
        </w:rPr>
        <w:t xml:space="preserve">Ensures </w:t>
      </w:r>
      <w:r w:rsidR="00F2303A">
        <w:rPr>
          <w:rFonts w:cs="Times New Roman"/>
        </w:rPr>
        <w:t xml:space="preserve">Investigational Products (IP) including </w:t>
      </w:r>
      <w:r w:rsidRPr="00B371FA">
        <w:rPr>
          <w:rFonts w:cs="Times New Roman"/>
        </w:rPr>
        <w:t xml:space="preserve">investigational devices are </w:t>
      </w:r>
      <w:r w:rsidR="00F20B61">
        <w:rPr>
          <w:rFonts w:cs="Times New Roman"/>
        </w:rPr>
        <w:t>properly stored</w:t>
      </w:r>
      <w:r w:rsidRPr="00B371FA">
        <w:rPr>
          <w:rFonts w:cs="Times New Roman"/>
        </w:rPr>
        <w:t xml:space="preserve"> </w:t>
      </w:r>
      <w:r w:rsidR="008959FD" w:rsidRPr="00B371FA">
        <w:rPr>
          <w:rFonts w:cs="Times New Roman"/>
        </w:rPr>
        <w:t xml:space="preserve">and managed </w:t>
      </w:r>
      <w:r w:rsidRPr="00B371FA">
        <w:rPr>
          <w:rFonts w:cs="Times New Roman"/>
        </w:rPr>
        <w:t xml:space="preserve">by the </w:t>
      </w:r>
      <w:r w:rsidR="00A27B03">
        <w:rPr>
          <w:rFonts w:cs="Times New Roman"/>
        </w:rPr>
        <w:t xml:space="preserve">clinical research </w:t>
      </w:r>
      <w:r w:rsidRPr="00B371FA">
        <w:rPr>
          <w:rFonts w:cs="Times New Roman"/>
        </w:rPr>
        <w:t xml:space="preserve">team </w:t>
      </w:r>
      <w:r>
        <w:rPr>
          <w:rFonts w:cs="Times New Roman"/>
        </w:rPr>
        <w:t>including receipt of shipment, inventory at the site, dispensation/use by each participant</w:t>
      </w:r>
      <w:r w:rsidR="006D04F3">
        <w:rPr>
          <w:rFonts w:cs="Times New Roman"/>
        </w:rPr>
        <w:t>, final</w:t>
      </w:r>
      <w:r>
        <w:rPr>
          <w:rFonts w:cs="Times New Roman"/>
        </w:rPr>
        <w:t xml:space="preserve"> dispensation, </w:t>
      </w:r>
      <w:r w:rsidR="000444B7">
        <w:rPr>
          <w:rFonts w:cs="Times New Roman"/>
        </w:rPr>
        <w:t xml:space="preserve">number </w:t>
      </w:r>
      <w:r w:rsidR="00FE4055">
        <w:rPr>
          <w:rFonts w:cs="Times New Roman"/>
        </w:rPr>
        <w:t>of</w:t>
      </w:r>
      <w:r w:rsidR="00FE4055">
        <w:t xml:space="preserve"> devices</w:t>
      </w:r>
      <w:r w:rsidR="008959FD">
        <w:t xml:space="preserve"> </w:t>
      </w:r>
      <w:r w:rsidR="00A11632">
        <w:t xml:space="preserve">that </w:t>
      </w:r>
      <w:r w:rsidR="008959FD">
        <w:t xml:space="preserve">have been </w:t>
      </w:r>
      <w:r w:rsidR="00A11632">
        <w:t xml:space="preserve">repaired, </w:t>
      </w:r>
      <w:r w:rsidR="008959FD">
        <w:t xml:space="preserve">returned </w:t>
      </w:r>
      <w:r w:rsidR="000444B7">
        <w:t xml:space="preserve">to </w:t>
      </w:r>
      <w:r w:rsidR="008959FD">
        <w:t xml:space="preserve">the </w:t>
      </w:r>
      <w:proofErr w:type="gramStart"/>
      <w:r w:rsidR="008959FD">
        <w:t>sponsor</w:t>
      </w:r>
      <w:proofErr w:type="gramEnd"/>
      <w:r w:rsidR="00FE4055">
        <w:t xml:space="preserve"> </w:t>
      </w:r>
      <w:r w:rsidR="008959FD">
        <w:t>or otherwise disposed of</w:t>
      </w:r>
      <w:r w:rsidR="00A11632">
        <w:t xml:space="preserve"> and the reason for the re</w:t>
      </w:r>
      <w:r w:rsidR="00CE4A28">
        <w:t>turn</w:t>
      </w:r>
      <w:r w:rsidR="005E6806">
        <w:t>, repair</w:t>
      </w:r>
      <w:r w:rsidR="00A11632">
        <w:t xml:space="preserve"> or disposal</w:t>
      </w:r>
      <w:r w:rsidR="008959FD">
        <w:t xml:space="preserve">. </w:t>
      </w:r>
      <w:r w:rsidR="00BF2381">
        <w:rPr>
          <w:rFonts w:cs="Times New Roman"/>
        </w:rPr>
        <w:t xml:space="preserve">(Note: </w:t>
      </w:r>
      <w:r w:rsidR="00892DE2">
        <w:rPr>
          <w:rFonts w:cs="Times New Roman"/>
        </w:rPr>
        <w:t>The</w:t>
      </w:r>
      <w:r w:rsidR="00BF2381">
        <w:rPr>
          <w:rFonts w:cs="Times New Roman"/>
        </w:rPr>
        <w:t xml:space="preserve"> Research Pharmacy does not provide accountability for devices, however, they may</w:t>
      </w:r>
      <w:r w:rsidR="00F2303A">
        <w:rPr>
          <w:rFonts w:cs="Times New Roman"/>
        </w:rPr>
        <w:t xml:space="preserve"> provide</w:t>
      </w:r>
      <w:r w:rsidR="00BF2381">
        <w:rPr>
          <w:rFonts w:cs="Times New Roman"/>
        </w:rPr>
        <w:t xml:space="preserve"> accountability for combination products)</w:t>
      </w:r>
    </w:p>
    <w:p w14:paraId="0C8AFFFB" w14:textId="381857AF" w:rsidR="00F20B61" w:rsidRDefault="00A27B03" w:rsidP="0000388C">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R</w:t>
      </w:r>
      <w:r w:rsidR="007A6995">
        <w:rPr>
          <w:rFonts w:cs="Times New Roman"/>
        </w:rPr>
        <w:t xml:space="preserve">eceives and provides necessary training prior to using </w:t>
      </w:r>
      <w:r w:rsidR="00BC3CF2">
        <w:rPr>
          <w:rFonts w:cs="Times New Roman"/>
        </w:rPr>
        <w:t xml:space="preserve">Investigational Products </w:t>
      </w:r>
    </w:p>
    <w:p w14:paraId="01F6C616" w14:textId="135FDC04" w:rsidR="00F025DD" w:rsidRPr="0074681D" w:rsidRDefault="00AB72E3" w:rsidP="0000388C">
      <w:pPr>
        <w:pStyle w:val="ListParagraph"/>
        <w:widowControl w:val="0"/>
        <w:numPr>
          <w:ilvl w:val="0"/>
          <w:numId w:val="16"/>
        </w:numPr>
        <w:autoSpaceDE w:val="0"/>
        <w:autoSpaceDN w:val="0"/>
        <w:adjustRightInd w:val="0"/>
        <w:spacing w:after="0" w:line="239" w:lineRule="auto"/>
        <w:ind w:right="720"/>
        <w:rPr>
          <w:rFonts w:cs="Times New Roman"/>
        </w:rPr>
      </w:pPr>
      <w:r w:rsidRPr="00F5045C">
        <w:rPr>
          <w:rFonts w:cs="Times New Roman"/>
        </w:rPr>
        <w:t>Ensures that the</w:t>
      </w:r>
      <w:r w:rsidR="0074681D" w:rsidRPr="0074681D">
        <w:rPr>
          <w:rFonts w:cs="Arial"/>
        </w:rPr>
        <w:t xml:space="preserve"> </w:t>
      </w:r>
      <w:r w:rsidR="0074681D">
        <w:rPr>
          <w:rFonts w:cs="Arial"/>
        </w:rPr>
        <w:t>applicable University department/unit/</w:t>
      </w:r>
      <w:r w:rsidR="00661597">
        <w:rPr>
          <w:rFonts w:cs="Arial"/>
        </w:rPr>
        <w:t>organization</w:t>
      </w:r>
      <w:r w:rsidR="00661597">
        <w:rPr>
          <w:rFonts w:cs="Times New Roman"/>
        </w:rPr>
        <w:t xml:space="preserve"> or</w:t>
      </w:r>
      <w:r w:rsidR="00452839">
        <w:rPr>
          <w:rFonts w:cs="Times New Roman"/>
        </w:rPr>
        <w:t xml:space="preserve"> </w:t>
      </w:r>
      <w:r w:rsidR="003640F5">
        <w:rPr>
          <w:rFonts w:cs="Times New Roman"/>
        </w:rPr>
        <w:t xml:space="preserve">the </w:t>
      </w:r>
      <w:r w:rsidR="00452839">
        <w:rPr>
          <w:rFonts w:cs="Times New Roman"/>
        </w:rPr>
        <w:t>Sponsor</w:t>
      </w:r>
      <w:r w:rsidR="003640F5">
        <w:rPr>
          <w:rFonts w:cs="Times New Roman"/>
        </w:rPr>
        <w:t xml:space="preserve">/Manufacturer </w:t>
      </w:r>
      <w:r w:rsidRPr="00F5045C">
        <w:rPr>
          <w:rFonts w:cs="Times New Roman"/>
        </w:rPr>
        <w:t xml:space="preserve">has </w:t>
      </w:r>
      <w:r w:rsidRPr="00F5045C">
        <w:rPr>
          <w:bCs/>
        </w:rPr>
        <w:t xml:space="preserve">assessed all devices for safety and tagged or registered </w:t>
      </w:r>
      <w:r w:rsidR="004C7BA3">
        <w:rPr>
          <w:bCs/>
        </w:rPr>
        <w:t>them</w:t>
      </w:r>
      <w:r w:rsidR="004C4692">
        <w:rPr>
          <w:bCs/>
        </w:rPr>
        <w:t xml:space="preserve"> </w:t>
      </w:r>
      <w:r w:rsidR="0074681D">
        <w:rPr>
          <w:bCs/>
        </w:rPr>
        <w:t xml:space="preserve">prior to use on </w:t>
      </w:r>
      <w:r w:rsidR="004C7BA3">
        <w:rPr>
          <w:bCs/>
        </w:rPr>
        <w:t xml:space="preserve">clinical </w:t>
      </w:r>
      <w:r w:rsidR="0074681D">
        <w:rPr>
          <w:bCs/>
        </w:rPr>
        <w:t>trial subjects</w:t>
      </w:r>
    </w:p>
    <w:p w14:paraId="2D8A8E55" w14:textId="226923FA" w:rsidR="00943B97" w:rsidRPr="005F3B39" w:rsidRDefault="00BC3CF2" w:rsidP="0000388C">
      <w:pPr>
        <w:pStyle w:val="ListParagraph"/>
        <w:widowControl w:val="0"/>
        <w:numPr>
          <w:ilvl w:val="0"/>
          <w:numId w:val="16"/>
        </w:numPr>
        <w:autoSpaceDE w:val="0"/>
        <w:autoSpaceDN w:val="0"/>
        <w:adjustRightInd w:val="0"/>
        <w:spacing w:after="0" w:line="239" w:lineRule="auto"/>
        <w:ind w:right="720"/>
        <w:rPr>
          <w:rFonts w:cs="Times New Roman"/>
        </w:rPr>
      </w:pPr>
      <w:r>
        <w:rPr>
          <w:bCs/>
        </w:rPr>
        <w:lastRenderedPageBreak/>
        <w:t>Dele</w:t>
      </w:r>
      <w:r w:rsidR="00F025DD">
        <w:rPr>
          <w:bCs/>
        </w:rPr>
        <w:t>gates responsibilities as appropriate</w:t>
      </w:r>
    </w:p>
    <w:p w14:paraId="543CCDD4" w14:textId="77777777" w:rsidR="00BC772F" w:rsidRPr="005F3B39" w:rsidRDefault="00BC772F" w:rsidP="005F3B39">
      <w:pPr>
        <w:spacing w:after="0" w:line="240" w:lineRule="auto"/>
        <w:rPr>
          <w:rFonts w:cs="Calibri"/>
          <w:b/>
        </w:rPr>
      </w:pPr>
      <w:r w:rsidRPr="005F3B39">
        <w:rPr>
          <w:rFonts w:cs="Calibri"/>
          <w:b/>
        </w:rPr>
        <w:t>(MANDATORY LANGUAGE)</w:t>
      </w:r>
    </w:p>
    <w:p w14:paraId="28F0FBAF" w14:textId="77777777" w:rsidR="00BC772F" w:rsidRPr="005F3B39" w:rsidRDefault="00BC772F" w:rsidP="005F3B39">
      <w:pPr>
        <w:widowControl w:val="0"/>
        <w:autoSpaceDE w:val="0"/>
        <w:autoSpaceDN w:val="0"/>
        <w:adjustRightInd w:val="0"/>
        <w:spacing w:after="0" w:line="239" w:lineRule="auto"/>
        <w:ind w:right="720"/>
        <w:rPr>
          <w:rFonts w:cs="Times New Roman"/>
        </w:rPr>
      </w:pPr>
    </w:p>
    <w:p w14:paraId="3DFD4E0C" w14:textId="4C2AD2FC" w:rsidR="00BC772F" w:rsidRPr="005F3B39" w:rsidRDefault="00BC772F" w:rsidP="005F3B39">
      <w:pPr>
        <w:widowControl w:val="0"/>
        <w:autoSpaceDE w:val="0"/>
        <w:autoSpaceDN w:val="0"/>
        <w:adjustRightInd w:val="0"/>
        <w:spacing w:after="0" w:line="240" w:lineRule="auto"/>
        <w:ind w:right="720"/>
        <w:rPr>
          <w:rFonts w:cs="Calibri"/>
          <w:i/>
          <w:color w:val="00B0F0"/>
        </w:rPr>
      </w:pPr>
      <w:r w:rsidRPr="005F3B39">
        <w:rPr>
          <w:rFonts w:cs="Calibri"/>
          <w:i/>
          <w:color w:val="00B0F0"/>
        </w:rPr>
        <w:t xml:space="preserve">[Optional: Insert any additional details regarding the responsibilities of the </w:t>
      </w:r>
      <w:r>
        <w:rPr>
          <w:rFonts w:cs="Calibri"/>
          <w:i/>
          <w:color w:val="00B0F0"/>
        </w:rPr>
        <w:t>Primary</w:t>
      </w:r>
      <w:r w:rsidRPr="005F3B39">
        <w:rPr>
          <w:rFonts w:cs="Calibri"/>
          <w:i/>
          <w:color w:val="00B0F0"/>
        </w:rPr>
        <w:t xml:space="preserve"> Investigator</w:t>
      </w:r>
      <w:r w:rsidR="00031200">
        <w:rPr>
          <w:rFonts w:cs="Calibri"/>
          <w:i/>
          <w:color w:val="00B0F0"/>
        </w:rPr>
        <w:t>/Designee</w:t>
      </w:r>
      <w:r w:rsidRPr="005F3B39">
        <w:rPr>
          <w:rFonts w:cs="Calibri"/>
          <w:color w:val="00B0F0"/>
        </w:rPr>
        <w:t>]</w:t>
      </w:r>
    </w:p>
    <w:p w14:paraId="35DA8267" w14:textId="77777777" w:rsidR="000F2B96" w:rsidRDefault="000F2B96" w:rsidP="00503D25">
      <w:pPr>
        <w:widowControl w:val="0"/>
        <w:autoSpaceDE w:val="0"/>
        <w:autoSpaceDN w:val="0"/>
        <w:adjustRightInd w:val="0"/>
        <w:spacing w:after="0" w:line="239" w:lineRule="auto"/>
        <w:ind w:left="720" w:right="720"/>
        <w:rPr>
          <w:rFonts w:cs="Times New Roman"/>
        </w:rPr>
      </w:pPr>
    </w:p>
    <w:p w14:paraId="037E88C5" w14:textId="56092499" w:rsidR="00886D6E" w:rsidRPr="002C700A" w:rsidRDefault="00860744" w:rsidP="00503D25">
      <w:pPr>
        <w:widowControl w:val="0"/>
        <w:autoSpaceDE w:val="0"/>
        <w:autoSpaceDN w:val="0"/>
        <w:adjustRightInd w:val="0"/>
        <w:spacing w:after="0" w:line="239" w:lineRule="auto"/>
        <w:ind w:right="720"/>
        <w:rPr>
          <w:rFonts w:cs="Times New Roman"/>
          <w:b/>
        </w:rPr>
      </w:pPr>
      <w:r w:rsidRPr="002C700A">
        <w:rPr>
          <w:rFonts w:cs="Times New Roman"/>
          <w:b/>
        </w:rPr>
        <w:t>Sponsor</w:t>
      </w:r>
      <w:r w:rsidR="00886D6E" w:rsidRPr="002C700A">
        <w:rPr>
          <w:rFonts w:cs="Times New Roman"/>
          <w:b/>
        </w:rPr>
        <w:t>-Investig</w:t>
      </w:r>
      <w:r w:rsidR="00FE4055">
        <w:rPr>
          <w:rFonts w:cs="Times New Roman"/>
          <w:b/>
        </w:rPr>
        <w:t>at</w:t>
      </w:r>
      <w:r w:rsidR="00886D6E" w:rsidRPr="002C700A">
        <w:rPr>
          <w:rFonts w:cs="Times New Roman"/>
          <w:b/>
        </w:rPr>
        <w:t>or</w:t>
      </w:r>
    </w:p>
    <w:p w14:paraId="24F52EEF" w14:textId="4FCFF6DE" w:rsidR="00503D25" w:rsidRDefault="00503D25" w:rsidP="00503D25">
      <w:pPr>
        <w:widowControl w:val="0"/>
        <w:autoSpaceDE w:val="0"/>
        <w:autoSpaceDN w:val="0"/>
        <w:adjustRightInd w:val="0"/>
        <w:spacing w:after="0" w:line="239" w:lineRule="auto"/>
        <w:ind w:right="720"/>
        <w:rPr>
          <w:rFonts w:cs="Times New Roman"/>
        </w:rPr>
      </w:pPr>
      <w:r>
        <w:rPr>
          <w:rFonts w:cs="Times New Roman"/>
        </w:rPr>
        <w:t>A</w:t>
      </w:r>
      <w:r w:rsidR="00CE503C">
        <w:rPr>
          <w:rFonts w:cs="Times New Roman"/>
        </w:rPr>
        <w:t>n</w:t>
      </w:r>
      <w:r w:rsidR="00A27B03">
        <w:rPr>
          <w:rFonts w:cs="Times New Roman"/>
        </w:rPr>
        <w:t xml:space="preserve"> </w:t>
      </w:r>
      <w:r>
        <w:rPr>
          <w:rFonts w:cs="Times New Roman"/>
        </w:rPr>
        <w:t xml:space="preserve">Investigator filling the role of the </w:t>
      </w:r>
      <w:r w:rsidRPr="00B54F0E">
        <w:rPr>
          <w:rFonts w:cs="Times New Roman"/>
        </w:rPr>
        <w:t>Sponsor</w:t>
      </w:r>
      <w:r w:rsidR="003B189E">
        <w:rPr>
          <w:rFonts w:cs="Times New Roman"/>
        </w:rPr>
        <w:t>-</w:t>
      </w:r>
      <w:r w:rsidRPr="00B54F0E">
        <w:rPr>
          <w:rFonts w:cs="Times New Roman"/>
        </w:rPr>
        <w:t xml:space="preserve">Investigator </w:t>
      </w:r>
      <w:r w:rsidR="00485B55">
        <w:rPr>
          <w:rFonts w:cs="Times New Roman"/>
        </w:rPr>
        <w:t>assumes the responsibilities of the</w:t>
      </w:r>
      <w:r w:rsidR="00BF617D">
        <w:rPr>
          <w:rFonts w:cs="Times New Roman"/>
        </w:rPr>
        <w:t xml:space="preserve"> Principal</w:t>
      </w:r>
      <w:r w:rsidR="00485B55">
        <w:rPr>
          <w:rFonts w:cs="Times New Roman"/>
        </w:rPr>
        <w:t xml:space="preserve"> Investigator as described above and </w:t>
      </w:r>
      <w:r w:rsidR="00485B55" w:rsidRPr="003E74FB">
        <w:rPr>
          <w:rFonts w:cs="Times New Roman"/>
          <w:b/>
          <w:i/>
        </w:rPr>
        <w:t>in addition</w:t>
      </w:r>
      <w:r w:rsidR="00485B55">
        <w:rPr>
          <w:rFonts w:cs="Times New Roman"/>
        </w:rPr>
        <w:t xml:space="preserve">, is responsible for the following: </w:t>
      </w:r>
    </w:p>
    <w:p w14:paraId="605B2238" w14:textId="4A82CB50" w:rsidR="00E86779" w:rsidRDefault="0074681D" w:rsidP="002B3211">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 xml:space="preserve">Consults with appropriate </w:t>
      </w:r>
      <w:r w:rsidR="004C7BA3">
        <w:rPr>
          <w:rFonts w:cs="Times New Roman"/>
        </w:rPr>
        <w:t xml:space="preserve">regulatory specialists </w:t>
      </w:r>
      <w:r w:rsidR="00DC7AB9">
        <w:rPr>
          <w:rFonts w:cs="Times New Roman"/>
        </w:rPr>
        <w:t xml:space="preserve">(MIAP at MICHR, etc.) </w:t>
      </w:r>
      <w:r>
        <w:rPr>
          <w:rFonts w:cs="Times New Roman"/>
        </w:rPr>
        <w:t>to d</w:t>
      </w:r>
      <w:r w:rsidR="002B3211">
        <w:rPr>
          <w:rFonts w:cs="Times New Roman"/>
        </w:rPr>
        <w:t xml:space="preserve">etermine whether or not </w:t>
      </w:r>
      <w:r w:rsidR="00485B55">
        <w:rPr>
          <w:rFonts w:cs="Times New Roman"/>
        </w:rPr>
        <w:t xml:space="preserve">an </w:t>
      </w:r>
      <w:r w:rsidR="002B3211">
        <w:rPr>
          <w:rFonts w:cs="Times New Roman"/>
        </w:rPr>
        <w:t>IND</w:t>
      </w:r>
      <w:r w:rsidR="00B54F0E">
        <w:rPr>
          <w:rFonts w:cs="Times New Roman"/>
        </w:rPr>
        <w:t xml:space="preserve"> and/or IDE application</w:t>
      </w:r>
      <w:r w:rsidR="007C79AE">
        <w:rPr>
          <w:rFonts w:cs="Times New Roman"/>
        </w:rPr>
        <w:t xml:space="preserve"> </w:t>
      </w:r>
      <w:r w:rsidR="00485B55">
        <w:rPr>
          <w:rFonts w:cs="Times New Roman"/>
        </w:rPr>
        <w:t xml:space="preserve">must be filed </w:t>
      </w:r>
      <w:r w:rsidR="007C79AE">
        <w:rPr>
          <w:rFonts w:cs="Times New Roman"/>
        </w:rPr>
        <w:t>with the FDA</w:t>
      </w:r>
      <w:r w:rsidR="00485B55">
        <w:rPr>
          <w:rFonts w:cs="Times New Roman"/>
        </w:rPr>
        <w:t xml:space="preserve"> </w:t>
      </w:r>
      <w:r w:rsidR="00C735D7">
        <w:rPr>
          <w:rFonts w:cs="Times New Roman"/>
        </w:rPr>
        <w:t>prior to use of an</w:t>
      </w:r>
      <w:r w:rsidR="00DB5E73">
        <w:rPr>
          <w:rFonts w:cs="Times New Roman"/>
        </w:rPr>
        <w:t xml:space="preserve"> </w:t>
      </w:r>
      <w:r w:rsidR="00485B55">
        <w:rPr>
          <w:rFonts w:cs="Times New Roman"/>
        </w:rPr>
        <w:t>IP</w:t>
      </w:r>
      <w:r w:rsidR="00DB5E73">
        <w:rPr>
          <w:rFonts w:cs="Times New Roman"/>
        </w:rPr>
        <w:t xml:space="preserve"> in a clinical trial</w:t>
      </w:r>
    </w:p>
    <w:p w14:paraId="34B2570A" w14:textId="7940F109" w:rsidR="00E86779" w:rsidRPr="00E86779" w:rsidRDefault="00B54F0E" w:rsidP="00E86779">
      <w:pPr>
        <w:pStyle w:val="ListParagraph"/>
        <w:widowControl w:val="0"/>
        <w:numPr>
          <w:ilvl w:val="0"/>
          <w:numId w:val="16"/>
        </w:numPr>
        <w:autoSpaceDE w:val="0"/>
        <w:autoSpaceDN w:val="0"/>
        <w:adjustRightInd w:val="0"/>
        <w:spacing w:after="0" w:line="239" w:lineRule="auto"/>
        <w:ind w:right="720"/>
        <w:rPr>
          <w:rFonts w:cstheme="minorHAnsi"/>
        </w:rPr>
      </w:pPr>
      <w:r w:rsidRPr="00E86779">
        <w:rPr>
          <w:rFonts w:cstheme="minorHAnsi"/>
        </w:rPr>
        <w:t>Submits the IND and/or IDE application to the</w:t>
      </w:r>
      <w:r w:rsidR="00F20B61" w:rsidRPr="00E86779">
        <w:rPr>
          <w:rFonts w:cstheme="minorHAnsi"/>
        </w:rPr>
        <w:t xml:space="preserve"> FDA</w:t>
      </w:r>
      <w:r w:rsidR="00E86779" w:rsidRPr="00E86779">
        <w:rPr>
          <w:rFonts w:cstheme="minorHAnsi"/>
        </w:rPr>
        <w:t xml:space="preserve"> with assistance from </w:t>
      </w:r>
      <w:r w:rsidR="00E86779" w:rsidRPr="00E86779">
        <w:rPr>
          <w:rFonts w:cstheme="minorHAnsi"/>
          <w:color w:val="000000"/>
          <w:shd w:val="clear" w:color="auto" w:fill="FFFFFF"/>
        </w:rPr>
        <w:t>MICHR IND/IDE Investigator Assistance Program</w:t>
      </w:r>
      <w:r w:rsidR="00E86779">
        <w:rPr>
          <w:rFonts w:cstheme="minorHAnsi"/>
          <w:color w:val="000000"/>
          <w:shd w:val="clear" w:color="auto" w:fill="FFFFFF"/>
        </w:rPr>
        <w:t xml:space="preserve"> (</w:t>
      </w:r>
      <w:r w:rsidR="00E86779" w:rsidRPr="00E86779">
        <w:rPr>
          <w:rFonts w:cstheme="minorHAnsi"/>
        </w:rPr>
        <w:t>MIAP</w:t>
      </w:r>
      <w:r w:rsidR="00E86779">
        <w:rPr>
          <w:rFonts w:cstheme="minorHAnsi"/>
        </w:rPr>
        <w:t>)</w:t>
      </w:r>
      <w:r w:rsidR="00E86779" w:rsidRPr="00E86779">
        <w:rPr>
          <w:rFonts w:cstheme="minorHAnsi"/>
        </w:rPr>
        <w:t xml:space="preserve">  </w:t>
      </w:r>
    </w:p>
    <w:p w14:paraId="4E2A5236" w14:textId="45E0ECC6" w:rsidR="00157673" w:rsidRPr="00E86779" w:rsidRDefault="00C735D7" w:rsidP="00E86779">
      <w:pPr>
        <w:pStyle w:val="ListParagraph"/>
        <w:widowControl w:val="0"/>
        <w:numPr>
          <w:ilvl w:val="0"/>
          <w:numId w:val="16"/>
        </w:numPr>
        <w:autoSpaceDE w:val="0"/>
        <w:autoSpaceDN w:val="0"/>
        <w:adjustRightInd w:val="0"/>
        <w:spacing w:after="0" w:line="239" w:lineRule="auto"/>
        <w:ind w:right="720"/>
        <w:rPr>
          <w:rFonts w:cs="Times New Roman"/>
        </w:rPr>
      </w:pPr>
      <w:r w:rsidRPr="00E86779">
        <w:rPr>
          <w:rFonts w:cs="Times New Roman"/>
        </w:rPr>
        <w:t xml:space="preserve">Oversees the management of </w:t>
      </w:r>
      <w:r w:rsidR="00503D25" w:rsidRPr="00E86779">
        <w:rPr>
          <w:rFonts w:cs="Times New Roman"/>
        </w:rPr>
        <w:t xml:space="preserve">IP product supply (procurement, distribution, accountability, </w:t>
      </w:r>
      <w:r w:rsidR="00661597" w:rsidRPr="00E86779">
        <w:rPr>
          <w:rFonts w:cs="Times New Roman"/>
        </w:rPr>
        <w:t>and disposition</w:t>
      </w:r>
    </w:p>
    <w:p w14:paraId="4F54723A" w14:textId="54D3FC76" w:rsidR="00AC5D86" w:rsidRPr="00887FAC" w:rsidRDefault="00AC5D86" w:rsidP="00AC5D86">
      <w:pPr>
        <w:pStyle w:val="ListParagraph"/>
        <w:widowControl w:val="0"/>
        <w:numPr>
          <w:ilvl w:val="0"/>
          <w:numId w:val="16"/>
        </w:numPr>
        <w:autoSpaceDE w:val="0"/>
        <w:autoSpaceDN w:val="0"/>
        <w:adjustRightInd w:val="0"/>
        <w:spacing w:after="0" w:line="239" w:lineRule="auto"/>
        <w:ind w:right="720"/>
        <w:rPr>
          <w:rStyle w:val="Hyperlink"/>
          <w:rFonts w:cs="Calibri"/>
          <w:color w:val="auto"/>
          <w:u w:val="none"/>
        </w:rPr>
      </w:pPr>
      <w:r>
        <w:rPr>
          <w:rStyle w:val="Hyperlink"/>
          <w:rFonts w:cs="Calibri"/>
          <w:color w:val="auto"/>
          <w:u w:val="none"/>
        </w:rPr>
        <w:t>Ensures Investigational Product (IP) is properly labeled</w:t>
      </w:r>
      <w:r w:rsidR="00F2303A">
        <w:rPr>
          <w:rStyle w:val="Hyperlink"/>
          <w:rFonts w:cs="Calibri"/>
          <w:color w:val="auto"/>
          <w:u w:val="none"/>
        </w:rPr>
        <w:t xml:space="preserve"> according to regulatory requirements</w:t>
      </w:r>
    </w:p>
    <w:p w14:paraId="758D1359" w14:textId="489B9A94" w:rsidR="00086246" w:rsidRPr="003B305F" w:rsidRDefault="00157673" w:rsidP="00086246">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 xml:space="preserve">Consults with the University of Michigan </w:t>
      </w:r>
      <w:r w:rsidR="00993938">
        <w:rPr>
          <w:rFonts w:cs="Times New Roman"/>
        </w:rPr>
        <w:t>R</w:t>
      </w:r>
      <w:r>
        <w:rPr>
          <w:rFonts w:cs="Times New Roman"/>
        </w:rPr>
        <w:t xml:space="preserve">esearch </w:t>
      </w:r>
      <w:r w:rsidR="00993938">
        <w:rPr>
          <w:rFonts w:cs="Times New Roman"/>
        </w:rPr>
        <w:t>P</w:t>
      </w:r>
      <w:r>
        <w:rPr>
          <w:rFonts w:cs="Times New Roman"/>
        </w:rPr>
        <w:t>harmacy to ensure appropriate processes and related documentation are in place</w:t>
      </w:r>
      <w:r w:rsidR="00086246">
        <w:rPr>
          <w:rFonts w:cs="Times New Roman"/>
        </w:rPr>
        <w:t xml:space="preserve"> including </w:t>
      </w:r>
      <w:r w:rsidR="00A341CD">
        <w:rPr>
          <w:rFonts w:cs="Times New Roman"/>
        </w:rPr>
        <w:t xml:space="preserve">processes for </w:t>
      </w:r>
      <w:r w:rsidR="00086246">
        <w:rPr>
          <w:rFonts w:cs="Times New Roman"/>
        </w:rPr>
        <w:t>multi-site trials</w:t>
      </w:r>
      <w:r w:rsidR="00086246" w:rsidRPr="00086246">
        <w:t xml:space="preserve"> </w:t>
      </w:r>
    </w:p>
    <w:p w14:paraId="6B68E7D0" w14:textId="12BAC0F8" w:rsidR="00A341CD" w:rsidRPr="003B305F" w:rsidRDefault="00086246" w:rsidP="003B305F">
      <w:pPr>
        <w:pStyle w:val="ListParagraph"/>
        <w:widowControl w:val="0"/>
        <w:autoSpaceDE w:val="0"/>
        <w:autoSpaceDN w:val="0"/>
        <w:adjustRightInd w:val="0"/>
        <w:spacing w:after="0" w:line="239" w:lineRule="auto"/>
        <w:ind w:left="1260" w:right="720"/>
        <w:rPr>
          <w:rFonts w:cs="Times New Roman"/>
          <w:i/>
        </w:rPr>
      </w:pPr>
      <w:r w:rsidRPr="003B305F">
        <w:rPr>
          <w:rFonts w:cs="Times New Roman"/>
          <w:i/>
        </w:rPr>
        <w:t xml:space="preserve">Note: The UM Research Pharmacy does not generally provide centralized services for </w:t>
      </w:r>
      <w:r w:rsidR="00EF22F4">
        <w:rPr>
          <w:rFonts w:cs="Times New Roman"/>
          <w:i/>
        </w:rPr>
        <w:t xml:space="preserve">Investigational Product (IP) using </w:t>
      </w:r>
      <w:r w:rsidRPr="003B305F">
        <w:rPr>
          <w:rFonts w:cs="Times New Roman"/>
          <w:i/>
        </w:rPr>
        <w:t>multi-site clinical trials. Consult with the Research Pharmacy prior to designating them as a central hub to ensure they are able to provide this service.</w:t>
      </w:r>
    </w:p>
    <w:p w14:paraId="3C1A6F13" w14:textId="0DFB3E6B" w:rsidR="006B3EDE" w:rsidRPr="004C7BA3" w:rsidRDefault="00E30412" w:rsidP="00503D25">
      <w:pPr>
        <w:pStyle w:val="ListParagraph"/>
        <w:widowControl w:val="0"/>
        <w:numPr>
          <w:ilvl w:val="0"/>
          <w:numId w:val="16"/>
        </w:numPr>
        <w:autoSpaceDE w:val="0"/>
        <w:autoSpaceDN w:val="0"/>
        <w:adjustRightInd w:val="0"/>
        <w:spacing w:after="0" w:line="239" w:lineRule="auto"/>
        <w:ind w:right="720"/>
        <w:rPr>
          <w:rStyle w:val="Hyperlink"/>
          <w:rFonts w:cs="Times New Roman"/>
          <w:color w:val="auto"/>
          <w:u w:val="none"/>
        </w:rPr>
      </w:pPr>
      <w:r>
        <w:rPr>
          <w:rFonts w:cs="Times New Roman"/>
        </w:rPr>
        <w:t>Arranges</w:t>
      </w:r>
      <w:r w:rsidR="00BC019F">
        <w:rPr>
          <w:rFonts w:cs="Times New Roman"/>
        </w:rPr>
        <w:t xml:space="preserve"> and provides </w:t>
      </w:r>
      <w:r>
        <w:rPr>
          <w:rStyle w:val="Hyperlink"/>
          <w:rFonts w:cs="Calibri"/>
          <w:color w:val="auto"/>
          <w:u w:val="none"/>
        </w:rPr>
        <w:t>randomization</w:t>
      </w:r>
      <w:r w:rsidR="00BC019F" w:rsidRPr="00B371FA">
        <w:rPr>
          <w:rStyle w:val="Hyperlink"/>
          <w:rFonts w:cs="Calibri"/>
          <w:color w:val="auto"/>
          <w:u w:val="none"/>
        </w:rPr>
        <w:t xml:space="preserve"> </w:t>
      </w:r>
      <w:r>
        <w:rPr>
          <w:rStyle w:val="Hyperlink"/>
          <w:rFonts w:cs="Calibri"/>
          <w:color w:val="auto"/>
          <w:u w:val="none"/>
        </w:rPr>
        <w:t xml:space="preserve">and unblinding/unmasking procedures </w:t>
      </w:r>
      <w:r w:rsidR="00BC019F" w:rsidRPr="00B371FA">
        <w:rPr>
          <w:rStyle w:val="Hyperlink"/>
          <w:rFonts w:cs="Calibri"/>
          <w:color w:val="auto"/>
          <w:u w:val="none"/>
        </w:rPr>
        <w:t xml:space="preserve">regarding </w:t>
      </w:r>
      <w:r w:rsidR="00C735D7">
        <w:rPr>
          <w:rStyle w:val="Hyperlink"/>
          <w:rFonts w:cs="Calibri"/>
          <w:color w:val="auto"/>
          <w:u w:val="none"/>
        </w:rPr>
        <w:t xml:space="preserve">the </w:t>
      </w:r>
      <w:r w:rsidR="00BC019F" w:rsidRPr="00B371FA">
        <w:rPr>
          <w:rStyle w:val="Hyperlink"/>
          <w:rFonts w:cs="Calibri"/>
          <w:color w:val="auto"/>
          <w:u w:val="none"/>
        </w:rPr>
        <w:t>IP</w:t>
      </w:r>
    </w:p>
    <w:p w14:paraId="433E9A0C" w14:textId="77777777" w:rsidR="00A871EB" w:rsidRDefault="004C7BA3" w:rsidP="00503D25">
      <w:pPr>
        <w:pStyle w:val="ListParagraph"/>
        <w:widowControl w:val="0"/>
        <w:numPr>
          <w:ilvl w:val="0"/>
          <w:numId w:val="16"/>
        </w:numPr>
        <w:autoSpaceDE w:val="0"/>
        <w:autoSpaceDN w:val="0"/>
        <w:adjustRightInd w:val="0"/>
        <w:spacing w:after="0" w:line="239" w:lineRule="auto"/>
        <w:ind w:right="720"/>
        <w:rPr>
          <w:rFonts w:cs="Times New Roman"/>
        </w:rPr>
      </w:pPr>
      <w:r w:rsidRPr="009E2FE4">
        <w:rPr>
          <w:rStyle w:val="Hyperlink"/>
          <w:rFonts w:cs="Calibri"/>
          <w:color w:val="auto"/>
          <w:u w:val="none"/>
        </w:rPr>
        <w:t>Ensures randomization, blinding and unblinding pro</w:t>
      </w:r>
      <w:r w:rsidR="009E2FE4">
        <w:rPr>
          <w:rStyle w:val="Hyperlink"/>
          <w:rFonts w:cs="Calibri"/>
          <w:color w:val="auto"/>
          <w:u w:val="none"/>
        </w:rPr>
        <w:t xml:space="preserve">cedures are harmonized with </w:t>
      </w:r>
      <w:r w:rsidR="009E2FE4" w:rsidRPr="00B54F0E">
        <w:rPr>
          <w:rFonts w:cs="Times New Roman"/>
        </w:rPr>
        <w:t>procurement, distribut</w:t>
      </w:r>
      <w:r w:rsidR="009E2FE4">
        <w:rPr>
          <w:rFonts w:cs="Times New Roman"/>
        </w:rPr>
        <w:t>ion, accountability, and disposition procedures for the IP</w:t>
      </w:r>
    </w:p>
    <w:p w14:paraId="2F1A0081" w14:textId="53A89ECB" w:rsidR="00CF2359" w:rsidRPr="009E2FE4" w:rsidRDefault="00CF2359" w:rsidP="00503D25">
      <w:pPr>
        <w:pStyle w:val="ListParagraph"/>
        <w:widowControl w:val="0"/>
        <w:numPr>
          <w:ilvl w:val="0"/>
          <w:numId w:val="16"/>
        </w:numPr>
        <w:autoSpaceDE w:val="0"/>
        <w:autoSpaceDN w:val="0"/>
        <w:adjustRightInd w:val="0"/>
        <w:spacing w:after="0" w:line="239" w:lineRule="auto"/>
        <w:ind w:right="720"/>
        <w:rPr>
          <w:rFonts w:cs="Times New Roman"/>
        </w:rPr>
      </w:pPr>
      <w:r w:rsidRPr="009E2FE4">
        <w:rPr>
          <w:rFonts w:cs="Times New Roman"/>
        </w:rPr>
        <w:t xml:space="preserve">Selects </w:t>
      </w:r>
      <w:r w:rsidR="00E76240" w:rsidRPr="009E2FE4">
        <w:rPr>
          <w:rFonts w:cs="Times New Roman"/>
        </w:rPr>
        <w:t>appropriate qualified</w:t>
      </w:r>
      <w:r w:rsidR="003B532D" w:rsidRPr="009E2FE4">
        <w:rPr>
          <w:rFonts w:cs="Times New Roman"/>
        </w:rPr>
        <w:t>, prescribing</w:t>
      </w:r>
      <w:r w:rsidR="00E76240" w:rsidRPr="009E2FE4">
        <w:rPr>
          <w:rFonts w:cs="Times New Roman"/>
        </w:rPr>
        <w:t xml:space="preserve"> investigator(s)</w:t>
      </w:r>
      <w:r w:rsidRPr="009E2FE4">
        <w:rPr>
          <w:rFonts w:cs="Times New Roman"/>
        </w:rPr>
        <w:t xml:space="preserve"> </w:t>
      </w:r>
    </w:p>
    <w:p w14:paraId="04B683F9" w14:textId="250B1CCA" w:rsidR="006E0901" w:rsidRDefault="006E0901" w:rsidP="00503D25">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Provides</w:t>
      </w:r>
      <w:r w:rsidR="00944973">
        <w:rPr>
          <w:rFonts w:cs="Times New Roman"/>
        </w:rPr>
        <w:t xml:space="preserve"> investigational</w:t>
      </w:r>
      <w:r>
        <w:rPr>
          <w:rFonts w:cs="Times New Roman"/>
        </w:rPr>
        <w:t xml:space="preserve"> site(s) with </w:t>
      </w:r>
      <w:r w:rsidR="00F20B61">
        <w:rPr>
          <w:rFonts w:cs="Times New Roman"/>
        </w:rPr>
        <w:t xml:space="preserve">all necessary materials </w:t>
      </w:r>
      <w:r>
        <w:rPr>
          <w:rFonts w:cs="Times New Roman"/>
        </w:rPr>
        <w:t xml:space="preserve">to run the clinical </w:t>
      </w:r>
      <w:r w:rsidR="00384FFF">
        <w:rPr>
          <w:rFonts w:cs="Times New Roman"/>
        </w:rPr>
        <w:t>trial</w:t>
      </w:r>
      <w:r w:rsidR="00944973">
        <w:rPr>
          <w:rFonts w:cs="Times New Roman"/>
        </w:rPr>
        <w:t xml:space="preserve"> (</w:t>
      </w:r>
      <w:r w:rsidR="00384FFF">
        <w:rPr>
          <w:rFonts w:cs="Times New Roman"/>
        </w:rPr>
        <w:t>i.e.</w:t>
      </w:r>
      <w:r w:rsidR="003B532D">
        <w:rPr>
          <w:rFonts w:cs="Times New Roman"/>
        </w:rPr>
        <w:t xml:space="preserve"> </w:t>
      </w:r>
      <w:r w:rsidR="00F83C9B">
        <w:rPr>
          <w:rFonts w:cs="Times New Roman"/>
        </w:rPr>
        <w:t>I</w:t>
      </w:r>
      <w:r w:rsidR="00CF2359">
        <w:rPr>
          <w:rFonts w:cs="Times New Roman"/>
        </w:rPr>
        <w:t>nstructions for the IP</w:t>
      </w:r>
      <w:r w:rsidR="00944973">
        <w:rPr>
          <w:rFonts w:cs="Times New Roman"/>
        </w:rPr>
        <w:t xml:space="preserve">, the Investigator’s Brochure, </w:t>
      </w:r>
      <w:r w:rsidR="003B532D">
        <w:rPr>
          <w:rFonts w:cs="Times New Roman"/>
        </w:rPr>
        <w:t>etc.</w:t>
      </w:r>
      <w:r w:rsidR="00944973">
        <w:rPr>
          <w:rFonts w:cs="Times New Roman"/>
        </w:rPr>
        <w:t>)</w:t>
      </w:r>
      <w:r w:rsidR="007A702B">
        <w:rPr>
          <w:rFonts w:cs="Times New Roman"/>
        </w:rPr>
        <w:t xml:space="preserve"> and coordinates additional training as needed</w:t>
      </w:r>
    </w:p>
    <w:p w14:paraId="3BF071CF" w14:textId="365C4886" w:rsidR="00503D25" w:rsidRDefault="00503D25" w:rsidP="00503D25">
      <w:pPr>
        <w:pStyle w:val="ListParagraph"/>
        <w:widowControl w:val="0"/>
        <w:numPr>
          <w:ilvl w:val="0"/>
          <w:numId w:val="16"/>
        </w:numPr>
        <w:autoSpaceDE w:val="0"/>
        <w:autoSpaceDN w:val="0"/>
        <w:adjustRightInd w:val="0"/>
        <w:spacing w:after="0" w:line="239" w:lineRule="auto"/>
        <w:ind w:right="720"/>
        <w:rPr>
          <w:rFonts w:cs="Times New Roman"/>
        </w:rPr>
      </w:pPr>
      <w:r w:rsidRPr="00503D25">
        <w:rPr>
          <w:rFonts w:cs="Times New Roman"/>
        </w:rPr>
        <w:t>En</w:t>
      </w:r>
      <w:r>
        <w:rPr>
          <w:rFonts w:cs="Times New Roman"/>
        </w:rPr>
        <w:t xml:space="preserve">sures </w:t>
      </w:r>
      <w:r w:rsidR="00F83C9B">
        <w:rPr>
          <w:rFonts w:cs="Times New Roman"/>
        </w:rPr>
        <w:t xml:space="preserve">investigational </w:t>
      </w:r>
      <w:r>
        <w:rPr>
          <w:rFonts w:cs="Times New Roman"/>
        </w:rPr>
        <w:t xml:space="preserve">site(s) have </w:t>
      </w:r>
      <w:r w:rsidR="00F83C9B">
        <w:rPr>
          <w:rFonts w:cs="Times New Roman"/>
        </w:rPr>
        <w:t xml:space="preserve">the </w:t>
      </w:r>
      <w:r>
        <w:rPr>
          <w:rFonts w:cs="Times New Roman"/>
        </w:rPr>
        <w:t xml:space="preserve">appropriate approvals prior </w:t>
      </w:r>
      <w:r w:rsidR="00944973">
        <w:rPr>
          <w:rFonts w:cs="Times New Roman"/>
        </w:rPr>
        <w:t xml:space="preserve">to </w:t>
      </w:r>
      <w:r>
        <w:rPr>
          <w:rFonts w:cs="Times New Roman"/>
        </w:rPr>
        <w:t xml:space="preserve">shipping drug </w:t>
      </w:r>
      <w:r w:rsidR="006E0901">
        <w:rPr>
          <w:rFonts w:cs="Times New Roman"/>
        </w:rPr>
        <w:t xml:space="preserve">or devices </w:t>
      </w:r>
      <w:r>
        <w:rPr>
          <w:rFonts w:cs="Times New Roman"/>
        </w:rPr>
        <w:t>to the site</w:t>
      </w:r>
      <w:r w:rsidR="00BF617D">
        <w:rPr>
          <w:rFonts w:cs="Times New Roman"/>
        </w:rPr>
        <w:t>(s)</w:t>
      </w:r>
    </w:p>
    <w:p w14:paraId="2E0E412C" w14:textId="4B4BA7C2" w:rsidR="00503D25" w:rsidRDefault="006E0901" w:rsidP="006E0901">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 xml:space="preserve">Ensures monitoring is in place to review drug </w:t>
      </w:r>
      <w:r w:rsidR="00F20B61">
        <w:rPr>
          <w:rFonts w:cs="Times New Roman"/>
        </w:rPr>
        <w:t xml:space="preserve">and device </w:t>
      </w:r>
      <w:r>
        <w:rPr>
          <w:rFonts w:cs="Times New Roman"/>
        </w:rPr>
        <w:t xml:space="preserve">accountability at </w:t>
      </w:r>
      <w:r w:rsidR="00BF617D">
        <w:rPr>
          <w:rFonts w:cs="Times New Roman"/>
        </w:rPr>
        <w:t xml:space="preserve">the </w:t>
      </w:r>
      <w:r>
        <w:rPr>
          <w:rFonts w:cs="Times New Roman"/>
        </w:rPr>
        <w:lastRenderedPageBreak/>
        <w:t>site</w:t>
      </w:r>
      <w:r w:rsidR="00BF617D">
        <w:rPr>
          <w:rFonts w:cs="Times New Roman"/>
        </w:rPr>
        <w:t>(</w:t>
      </w:r>
      <w:r>
        <w:rPr>
          <w:rFonts w:cs="Times New Roman"/>
        </w:rPr>
        <w:t>s</w:t>
      </w:r>
      <w:r w:rsidR="00BF617D">
        <w:rPr>
          <w:rFonts w:cs="Times New Roman"/>
        </w:rPr>
        <w:t>)</w:t>
      </w:r>
      <w:r>
        <w:rPr>
          <w:rFonts w:cs="Times New Roman"/>
        </w:rPr>
        <w:t xml:space="preserve"> during the life of the clinical trial</w:t>
      </w:r>
    </w:p>
    <w:p w14:paraId="752D934F" w14:textId="5854E800" w:rsidR="003B532D" w:rsidRDefault="007A702B" w:rsidP="007A702B">
      <w:pPr>
        <w:pStyle w:val="ListParagraph"/>
        <w:widowControl w:val="0"/>
        <w:numPr>
          <w:ilvl w:val="0"/>
          <w:numId w:val="16"/>
        </w:numPr>
        <w:autoSpaceDE w:val="0"/>
        <w:autoSpaceDN w:val="0"/>
        <w:adjustRightInd w:val="0"/>
        <w:spacing w:after="0" w:line="239" w:lineRule="auto"/>
        <w:ind w:right="720"/>
        <w:rPr>
          <w:rFonts w:cs="Times New Roman"/>
        </w:rPr>
      </w:pPr>
      <w:r w:rsidRPr="007A702B">
        <w:rPr>
          <w:rFonts w:cs="Times New Roman"/>
        </w:rPr>
        <w:t>Supplies</w:t>
      </w:r>
      <w:r w:rsidR="003B532D">
        <w:rPr>
          <w:rFonts w:cs="Times New Roman"/>
        </w:rPr>
        <w:t xml:space="preserve"> </w:t>
      </w:r>
      <w:r w:rsidR="00C735D7" w:rsidRPr="007A702B">
        <w:rPr>
          <w:rFonts w:cs="Times New Roman"/>
        </w:rPr>
        <w:t>tracking tools to participating s</w:t>
      </w:r>
      <w:r w:rsidRPr="007A702B">
        <w:rPr>
          <w:rFonts w:cs="Times New Roman"/>
        </w:rPr>
        <w:t xml:space="preserve">ites and/or pharmacies </w:t>
      </w:r>
      <w:r w:rsidR="003B532D">
        <w:rPr>
          <w:rFonts w:cs="Times New Roman"/>
        </w:rPr>
        <w:t xml:space="preserve">(when needed) </w:t>
      </w:r>
      <w:r w:rsidRPr="007A702B">
        <w:rPr>
          <w:rFonts w:cs="Times New Roman"/>
        </w:rPr>
        <w:t xml:space="preserve">to facilitate management of </w:t>
      </w:r>
      <w:r w:rsidR="00C735D7" w:rsidRPr="007A702B">
        <w:rPr>
          <w:rFonts w:cs="Times New Roman"/>
        </w:rPr>
        <w:t xml:space="preserve">inventory, shipping, </w:t>
      </w:r>
      <w:r w:rsidRPr="007A702B">
        <w:rPr>
          <w:rFonts w:cs="Times New Roman"/>
        </w:rPr>
        <w:t>storage, dispensing, disposal and return of IP</w:t>
      </w:r>
    </w:p>
    <w:p w14:paraId="2F7A8677" w14:textId="65CCB470" w:rsidR="006E0901" w:rsidRDefault="006E0901" w:rsidP="007A702B">
      <w:pPr>
        <w:pStyle w:val="ListParagraph"/>
        <w:widowControl w:val="0"/>
        <w:numPr>
          <w:ilvl w:val="0"/>
          <w:numId w:val="16"/>
        </w:numPr>
        <w:autoSpaceDE w:val="0"/>
        <w:autoSpaceDN w:val="0"/>
        <w:adjustRightInd w:val="0"/>
        <w:spacing w:after="0" w:line="239" w:lineRule="auto"/>
        <w:ind w:right="720"/>
        <w:rPr>
          <w:rFonts w:cs="Times New Roman"/>
        </w:rPr>
      </w:pPr>
      <w:r w:rsidRPr="007A702B">
        <w:rPr>
          <w:rFonts w:cs="Times New Roman"/>
        </w:rPr>
        <w:t xml:space="preserve">Follows all local, state, </w:t>
      </w:r>
      <w:r w:rsidR="00CE503C" w:rsidRPr="007A702B">
        <w:rPr>
          <w:rFonts w:cs="Times New Roman"/>
        </w:rPr>
        <w:t>federal,</w:t>
      </w:r>
      <w:r w:rsidRPr="007A702B">
        <w:rPr>
          <w:rFonts w:cs="Times New Roman"/>
        </w:rPr>
        <w:t xml:space="preserve"> and international laws (</w:t>
      </w:r>
      <w:r w:rsidR="009E2FE4">
        <w:rPr>
          <w:rFonts w:cs="Times New Roman"/>
        </w:rPr>
        <w:t xml:space="preserve">including ICH GCP </w:t>
      </w:r>
      <w:r w:rsidRPr="007A702B">
        <w:rPr>
          <w:rFonts w:cs="Times New Roman"/>
        </w:rPr>
        <w:t>when applicable) for the clinical trial</w:t>
      </w:r>
    </w:p>
    <w:p w14:paraId="01A0D658" w14:textId="56450F23" w:rsidR="00DE5931" w:rsidRPr="007A702B" w:rsidRDefault="004F6D08" w:rsidP="007A702B">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Delegates responsibilities as appropriate</w:t>
      </w:r>
    </w:p>
    <w:p w14:paraId="15E04162" w14:textId="0E350CB9" w:rsidR="00DD03A6" w:rsidRPr="006C5B1B" w:rsidRDefault="00CD12A1" w:rsidP="006C5B1B">
      <w:pPr>
        <w:widowControl w:val="0"/>
        <w:autoSpaceDE w:val="0"/>
        <w:autoSpaceDN w:val="0"/>
        <w:adjustRightInd w:val="0"/>
        <w:spacing w:after="0" w:line="239" w:lineRule="auto"/>
        <w:ind w:left="720" w:right="720"/>
        <w:rPr>
          <w:rFonts w:cs="Calibri"/>
          <w:spacing w:val="-4"/>
        </w:rPr>
      </w:pPr>
      <w:r w:rsidRPr="006C5B1B">
        <w:rPr>
          <w:rFonts w:cs="Calibri"/>
          <w:b/>
        </w:rPr>
        <w:t>(MANDATORY LANGUAGE)</w:t>
      </w:r>
    </w:p>
    <w:p w14:paraId="6843AEFC" w14:textId="77777777" w:rsidR="00CD12A1" w:rsidRPr="006203F4" w:rsidRDefault="00CD12A1" w:rsidP="00CD12A1">
      <w:pPr>
        <w:widowControl w:val="0"/>
        <w:autoSpaceDE w:val="0"/>
        <w:autoSpaceDN w:val="0"/>
        <w:adjustRightInd w:val="0"/>
        <w:spacing w:after="0" w:line="240" w:lineRule="auto"/>
        <w:ind w:left="360" w:right="720"/>
        <w:rPr>
          <w:rFonts w:cs="Calibri"/>
        </w:rPr>
      </w:pPr>
    </w:p>
    <w:p w14:paraId="51C0B824" w14:textId="0AF5FAE1" w:rsidR="00CD12A1" w:rsidRPr="00B068E2" w:rsidRDefault="00B068E2" w:rsidP="00B068E2">
      <w:pPr>
        <w:widowControl w:val="0"/>
        <w:autoSpaceDE w:val="0"/>
        <w:autoSpaceDN w:val="0"/>
        <w:adjustRightInd w:val="0"/>
        <w:spacing w:after="0" w:line="240" w:lineRule="auto"/>
        <w:ind w:left="360" w:right="720"/>
        <w:rPr>
          <w:rFonts w:cs="Calibri"/>
          <w:i/>
          <w:color w:val="00B0F0"/>
        </w:rPr>
      </w:pPr>
      <w:r w:rsidRPr="0024775D">
        <w:rPr>
          <w:rFonts w:cs="Calibri"/>
          <w:i/>
          <w:color w:val="00B0F0"/>
        </w:rPr>
        <w:t>[</w:t>
      </w:r>
      <w:r w:rsidR="003809CE">
        <w:rPr>
          <w:rFonts w:cs="Calibri"/>
          <w:i/>
          <w:color w:val="00B0F0"/>
        </w:rPr>
        <w:t xml:space="preserve">Optional: Insert any additional </w:t>
      </w:r>
      <w:r w:rsidRPr="0024775D">
        <w:rPr>
          <w:rFonts w:cs="Calibri"/>
          <w:i/>
          <w:color w:val="00B0F0"/>
        </w:rPr>
        <w:t>details regarding the responsibi</w:t>
      </w:r>
      <w:r>
        <w:rPr>
          <w:rFonts w:cs="Calibri"/>
          <w:i/>
          <w:color w:val="00B0F0"/>
        </w:rPr>
        <w:t xml:space="preserve">lities of the </w:t>
      </w:r>
      <w:r w:rsidR="003B532D">
        <w:rPr>
          <w:rFonts w:cs="Calibri"/>
          <w:i/>
          <w:color w:val="00B0F0"/>
        </w:rPr>
        <w:t>Sponsor</w:t>
      </w:r>
      <w:r w:rsidR="006F207D">
        <w:rPr>
          <w:rFonts w:cs="Calibri"/>
          <w:i/>
          <w:color w:val="00B0F0"/>
        </w:rPr>
        <w:t>-</w:t>
      </w:r>
      <w:r w:rsidR="003B532D">
        <w:rPr>
          <w:rFonts w:cs="Calibri"/>
          <w:i/>
          <w:color w:val="00B0F0"/>
        </w:rPr>
        <w:t xml:space="preserve"> Investigator</w:t>
      </w:r>
      <w:r w:rsidR="006F7598">
        <w:rPr>
          <w:rFonts w:cs="Calibri"/>
          <w:i/>
          <w:color w:val="00B0F0"/>
        </w:rPr>
        <w:t>/Designee</w:t>
      </w:r>
      <w:r w:rsidR="00CD12A1">
        <w:rPr>
          <w:rFonts w:cs="Calibri"/>
          <w:color w:val="00B0F0"/>
        </w:rPr>
        <w:t>]</w:t>
      </w:r>
    </w:p>
    <w:p w14:paraId="5738F92F" w14:textId="77777777" w:rsidR="00DD03A6" w:rsidRPr="00DD03A6" w:rsidRDefault="00DD03A6" w:rsidP="00DD03A6">
      <w:pPr>
        <w:widowControl w:val="0"/>
        <w:autoSpaceDE w:val="0"/>
        <w:autoSpaceDN w:val="0"/>
        <w:adjustRightInd w:val="0"/>
        <w:spacing w:after="0" w:line="240" w:lineRule="auto"/>
        <w:ind w:left="360" w:right="720"/>
        <w:rPr>
          <w:rFonts w:cs="Calibri"/>
          <w:bCs/>
        </w:rPr>
      </w:pPr>
    </w:p>
    <w:p w14:paraId="0D32CFC7" w14:textId="77777777" w:rsidR="002F030E" w:rsidRPr="006014E7" w:rsidRDefault="002F030E" w:rsidP="002F030E">
      <w:pPr>
        <w:autoSpaceDE w:val="0"/>
        <w:autoSpaceDN w:val="0"/>
        <w:adjustRightInd w:val="0"/>
        <w:spacing w:after="0" w:line="240" w:lineRule="auto"/>
        <w:ind w:firstLine="360"/>
        <w:rPr>
          <w:b/>
        </w:rPr>
      </w:pPr>
      <w:r w:rsidRPr="006014E7">
        <w:rPr>
          <w:b/>
        </w:rPr>
        <w:t>Study Coordinator</w:t>
      </w:r>
      <w:r>
        <w:rPr>
          <w:b/>
        </w:rPr>
        <w:t>(s)</w:t>
      </w:r>
      <w:r w:rsidRPr="006014E7">
        <w:rPr>
          <w:b/>
        </w:rPr>
        <w:t>/Designee</w:t>
      </w:r>
    </w:p>
    <w:p w14:paraId="5FB20D8C" w14:textId="4CBE91F8" w:rsidR="002F030E" w:rsidRPr="002F030E" w:rsidRDefault="002F030E" w:rsidP="002F030E">
      <w:pPr>
        <w:widowControl w:val="0"/>
        <w:autoSpaceDE w:val="0"/>
        <w:autoSpaceDN w:val="0"/>
        <w:adjustRightInd w:val="0"/>
        <w:spacing w:after="0" w:line="239" w:lineRule="auto"/>
        <w:ind w:left="360" w:right="720"/>
        <w:rPr>
          <w:rFonts w:cs="Calibri"/>
        </w:rPr>
      </w:pPr>
      <w:r w:rsidRPr="00893A96">
        <w:t xml:space="preserve">An individual filling </w:t>
      </w:r>
      <w:r>
        <w:t>this role</w:t>
      </w:r>
      <w:r w:rsidRPr="00893A96">
        <w:t xml:space="preserve"> shall be responsible for the following activities</w:t>
      </w:r>
      <w:r>
        <w:rPr>
          <w:rFonts w:cs="Calibri"/>
        </w:rPr>
        <w:t>:</w:t>
      </w:r>
    </w:p>
    <w:p w14:paraId="3B437D63" w14:textId="4EC82E06" w:rsidR="002F030E" w:rsidRDefault="002F030E" w:rsidP="002F030E">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Maintain</w:t>
      </w:r>
      <w:r w:rsidR="007A702B">
        <w:rPr>
          <w:rFonts w:cs="Times New Roman"/>
        </w:rPr>
        <w:t>s</w:t>
      </w:r>
      <w:r>
        <w:rPr>
          <w:rFonts w:cs="Times New Roman"/>
        </w:rPr>
        <w:t xml:space="preserve"> documentation of participants given IP </w:t>
      </w:r>
    </w:p>
    <w:p w14:paraId="565B1479" w14:textId="0074AFE3" w:rsidR="002F030E" w:rsidRDefault="002F030E" w:rsidP="002F030E">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Record</w:t>
      </w:r>
      <w:r w:rsidR="007A702B">
        <w:rPr>
          <w:rFonts w:cs="Times New Roman"/>
        </w:rPr>
        <w:t>s</w:t>
      </w:r>
      <w:r w:rsidR="006806B9">
        <w:rPr>
          <w:rFonts w:cs="Times New Roman"/>
        </w:rPr>
        <w:t xml:space="preserve"> </w:t>
      </w:r>
      <w:r>
        <w:rPr>
          <w:rFonts w:cs="Times New Roman"/>
        </w:rPr>
        <w:t xml:space="preserve">details of the IP </w:t>
      </w:r>
      <w:r w:rsidR="006B3EDE">
        <w:rPr>
          <w:rFonts w:cs="Times New Roman"/>
        </w:rPr>
        <w:t>(</w:t>
      </w:r>
      <w:r w:rsidR="007A702B">
        <w:rPr>
          <w:rFonts w:cs="Times New Roman"/>
        </w:rPr>
        <w:t>e.g. dispensing, administration, return and/or disposal dates, etc.)</w:t>
      </w:r>
    </w:p>
    <w:p w14:paraId="6507B585" w14:textId="3D008757" w:rsidR="006B3EDE" w:rsidRDefault="006B3EDE" w:rsidP="0092426C">
      <w:pPr>
        <w:pStyle w:val="ListParagraph"/>
        <w:widowControl w:val="0"/>
        <w:numPr>
          <w:ilvl w:val="0"/>
          <w:numId w:val="16"/>
        </w:numPr>
        <w:autoSpaceDE w:val="0"/>
        <w:autoSpaceDN w:val="0"/>
        <w:adjustRightInd w:val="0"/>
        <w:spacing w:after="0" w:line="239" w:lineRule="auto"/>
        <w:ind w:right="720"/>
        <w:rPr>
          <w:rFonts w:cs="Times New Roman"/>
        </w:rPr>
      </w:pPr>
      <w:r w:rsidRPr="0092426C">
        <w:rPr>
          <w:rFonts w:cs="Times New Roman"/>
        </w:rPr>
        <w:t xml:space="preserve">Discusses </w:t>
      </w:r>
      <w:r w:rsidR="0092426C" w:rsidRPr="0092426C">
        <w:rPr>
          <w:rFonts w:cs="Times New Roman"/>
        </w:rPr>
        <w:t xml:space="preserve">with the PI </w:t>
      </w:r>
      <w:r w:rsidRPr="0092426C">
        <w:rPr>
          <w:rFonts w:cs="Times New Roman"/>
        </w:rPr>
        <w:t xml:space="preserve">concerns </w:t>
      </w:r>
      <w:r w:rsidR="007A702B" w:rsidRPr="0092426C">
        <w:rPr>
          <w:rFonts w:cs="Times New Roman"/>
        </w:rPr>
        <w:t>regarding the storage, use, safety, disposal or return of the IP</w:t>
      </w:r>
      <w:r w:rsidR="0092426C" w:rsidRPr="0092426C">
        <w:rPr>
          <w:rFonts w:cs="Times New Roman"/>
        </w:rPr>
        <w:t xml:space="preserve"> </w:t>
      </w:r>
      <w:r w:rsidRPr="0092426C">
        <w:rPr>
          <w:rFonts w:cs="Times New Roman"/>
        </w:rPr>
        <w:t>that</w:t>
      </w:r>
      <w:r w:rsidR="0092426C" w:rsidRPr="0092426C">
        <w:rPr>
          <w:rFonts w:cs="Times New Roman"/>
        </w:rPr>
        <w:t xml:space="preserve"> may</w:t>
      </w:r>
      <w:r w:rsidRPr="0092426C">
        <w:rPr>
          <w:rFonts w:cs="Times New Roman"/>
        </w:rPr>
        <w:t xml:space="preserve"> arise during the clinical trial</w:t>
      </w:r>
    </w:p>
    <w:p w14:paraId="221801E7" w14:textId="178C3657" w:rsidR="006B3EDE" w:rsidRPr="0092426C" w:rsidRDefault="00384FFF" w:rsidP="0092426C">
      <w:pPr>
        <w:pStyle w:val="ListParagraph"/>
        <w:widowControl w:val="0"/>
        <w:numPr>
          <w:ilvl w:val="0"/>
          <w:numId w:val="16"/>
        </w:numPr>
        <w:autoSpaceDE w:val="0"/>
        <w:autoSpaceDN w:val="0"/>
        <w:adjustRightInd w:val="0"/>
        <w:spacing w:after="0" w:line="239" w:lineRule="auto"/>
        <w:ind w:right="720"/>
        <w:rPr>
          <w:rFonts w:cs="Times New Roman"/>
        </w:rPr>
      </w:pPr>
      <w:r w:rsidRPr="0092426C">
        <w:rPr>
          <w:rFonts w:cs="Times New Roman"/>
        </w:rPr>
        <w:t>Reviews</w:t>
      </w:r>
      <w:r w:rsidR="006B3EDE" w:rsidRPr="0092426C">
        <w:rPr>
          <w:rFonts w:cs="Times New Roman"/>
        </w:rPr>
        <w:t xml:space="preserve"> IP for expiration </w:t>
      </w:r>
      <w:r w:rsidR="0092426C">
        <w:rPr>
          <w:rFonts w:cs="Times New Roman"/>
        </w:rPr>
        <w:t xml:space="preserve">date </w:t>
      </w:r>
      <w:r w:rsidRPr="0092426C">
        <w:rPr>
          <w:rFonts w:cs="Times New Roman"/>
        </w:rPr>
        <w:t>and other</w:t>
      </w:r>
      <w:r w:rsidR="006B3EDE" w:rsidRPr="0092426C">
        <w:rPr>
          <w:rFonts w:cs="Times New Roman"/>
        </w:rPr>
        <w:t xml:space="preserve"> issues that could affect the</w:t>
      </w:r>
      <w:r w:rsidR="0092426C">
        <w:rPr>
          <w:rFonts w:cs="Times New Roman"/>
        </w:rPr>
        <w:t xml:space="preserve"> safety or quality of the</w:t>
      </w:r>
      <w:r w:rsidR="006B3EDE" w:rsidRPr="0092426C">
        <w:rPr>
          <w:rFonts w:cs="Times New Roman"/>
        </w:rPr>
        <w:t xml:space="preserve"> IP </w:t>
      </w:r>
    </w:p>
    <w:p w14:paraId="40D388BD" w14:textId="32FD6ADE" w:rsidR="006B3EDE" w:rsidRDefault="002B5654" w:rsidP="002F030E">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 xml:space="preserve">Collaborates </w:t>
      </w:r>
      <w:r w:rsidR="006B3EDE">
        <w:rPr>
          <w:rFonts w:cs="Times New Roman"/>
        </w:rPr>
        <w:t xml:space="preserve">with the Research Pharmacy for the life of the </w:t>
      </w:r>
      <w:r w:rsidR="00452839">
        <w:rPr>
          <w:rFonts w:cs="Times New Roman"/>
        </w:rPr>
        <w:t>investigational drug</w:t>
      </w:r>
      <w:r w:rsidR="0074681D">
        <w:rPr>
          <w:rFonts w:cs="Times New Roman"/>
        </w:rPr>
        <w:t xml:space="preserve"> </w:t>
      </w:r>
      <w:r w:rsidR="006B3EDE">
        <w:rPr>
          <w:rFonts w:cs="Times New Roman"/>
        </w:rPr>
        <w:t>clinical trial</w:t>
      </w:r>
      <w:r w:rsidR="003640F5">
        <w:rPr>
          <w:rFonts w:cs="Times New Roman"/>
        </w:rPr>
        <w:t xml:space="preserve"> (if applicable)</w:t>
      </w:r>
    </w:p>
    <w:p w14:paraId="01C1CD71" w14:textId="790D54C9" w:rsidR="006B3EDE" w:rsidRDefault="006B3EDE" w:rsidP="002F030E">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 xml:space="preserve">Ensures proper </w:t>
      </w:r>
      <w:r w:rsidR="0092426C">
        <w:rPr>
          <w:rFonts w:cs="Times New Roman"/>
        </w:rPr>
        <w:t>information</w:t>
      </w:r>
      <w:r>
        <w:rPr>
          <w:rFonts w:cs="Times New Roman"/>
        </w:rPr>
        <w:t xml:space="preserve"> is recorded and</w:t>
      </w:r>
      <w:r w:rsidR="0092426C">
        <w:rPr>
          <w:rFonts w:cs="Times New Roman"/>
        </w:rPr>
        <w:t xml:space="preserve"> documentation</w:t>
      </w:r>
      <w:r>
        <w:rPr>
          <w:rFonts w:cs="Times New Roman"/>
        </w:rPr>
        <w:t xml:space="preserve"> stored regarding IP</w:t>
      </w:r>
    </w:p>
    <w:p w14:paraId="1F20B3A8" w14:textId="666D47BD" w:rsidR="002F030E" w:rsidRDefault="006B3EDE" w:rsidP="006B3EDE">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Assists study team with the storage and management of the investigational devic</w:t>
      </w:r>
      <w:r w:rsidR="00CF2359">
        <w:rPr>
          <w:rFonts w:cs="Times New Roman"/>
        </w:rPr>
        <w:t>e</w:t>
      </w:r>
    </w:p>
    <w:p w14:paraId="78DD8CBE" w14:textId="471FD1F6" w:rsidR="00CF2359" w:rsidRPr="006B3EDE" w:rsidRDefault="00CF2359" w:rsidP="006B3EDE">
      <w:pPr>
        <w:pStyle w:val="ListParagraph"/>
        <w:widowControl w:val="0"/>
        <w:numPr>
          <w:ilvl w:val="0"/>
          <w:numId w:val="16"/>
        </w:numPr>
        <w:autoSpaceDE w:val="0"/>
        <w:autoSpaceDN w:val="0"/>
        <w:adjustRightInd w:val="0"/>
        <w:spacing w:after="0" w:line="239" w:lineRule="auto"/>
        <w:ind w:right="720"/>
        <w:rPr>
          <w:rFonts w:cs="Times New Roman"/>
        </w:rPr>
      </w:pPr>
      <w:r>
        <w:rPr>
          <w:rFonts w:cs="Times New Roman"/>
        </w:rPr>
        <w:t>Cre</w:t>
      </w:r>
      <w:r w:rsidR="005E4A9F">
        <w:rPr>
          <w:rFonts w:cs="Times New Roman"/>
        </w:rPr>
        <w:t>ates additional guidance or SPGs</w:t>
      </w:r>
      <w:r>
        <w:rPr>
          <w:rFonts w:cs="Times New Roman"/>
        </w:rPr>
        <w:t xml:space="preserve"> to help facilitate the management of the IP</w:t>
      </w:r>
    </w:p>
    <w:p w14:paraId="36B5EF9D" w14:textId="7CB62AE1" w:rsidR="002A4DF5" w:rsidRDefault="002A4DF5" w:rsidP="006B3EDE">
      <w:pPr>
        <w:widowControl w:val="0"/>
        <w:autoSpaceDE w:val="0"/>
        <w:autoSpaceDN w:val="0"/>
        <w:adjustRightInd w:val="0"/>
        <w:spacing w:after="0" w:line="240" w:lineRule="auto"/>
        <w:ind w:right="720" w:firstLine="360"/>
        <w:rPr>
          <w:rFonts w:cs="Calibri"/>
          <w:b/>
        </w:rPr>
      </w:pPr>
      <w:r w:rsidRPr="002A4DF5">
        <w:rPr>
          <w:rFonts w:cs="Calibri"/>
          <w:b/>
        </w:rPr>
        <w:t>(MANDATORY LANGUAGE)</w:t>
      </w:r>
    </w:p>
    <w:p w14:paraId="67BD25C9" w14:textId="77777777" w:rsidR="006F207D" w:rsidRPr="002A4DF5" w:rsidRDefault="006F207D" w:rsidP="006B3EDE">
      <w:pPr>
        <w:widowControl w:val="0"/>
        <w:autoSpaceDE w:val="0"/>
        <w:autoSpaceDN w:val="0"/>
        <w:adjustRightInd w:val="0"/>
        <w:spacing w:after="0" w:line="240" w:lineRule="auto"/>
        <w:ind w:right="720" w:firstLine="360"/>
        <w:rPr>
          <w:rFonts w:cs="Calibri"/>
          <w:bCs/>
        </w:rPr>
      </w:pPr>
    </w:p>
    <w:p w14:paraId="15224E58" w14:textId="013C48D8" w:rsidR="006F207D" w:rsidRDefault="006F207D" w:rsidP="006F207D">
      <w:pPr>
        <w:widowControl w:val="0"/>
        <w:autoSpaceDE w:val="0"/>
        <w:autoSpaceDN w:val="0"/>
        <w:adjustRightInd w:val="0"/>
        <w:spacing w:after="0" w:line="240" w:lineRule="auto"/>
        <w:ind w:left="360" w:right="720"/>
        <w:rPr>
          <w:rFonts w:cs="Calibri"/>
          <w:color w:val="00B0F0"/>
        </w:rPr>
      </w:pPr>
      <w:r w:rsidRPr="0024775D">
        <w:rPr>
          <w:rFonts w:cs="Calibri"/>
          <w:i/>
          <w:color w:val="00B0F0"/>
        </w:rPr>
        <w:t>[</w:t>
      </w:r>
      <w:r>
        <w:rPr>
          <w:rFonts w:cs="Calibri"/>
          <w:i/>
          <w:color w:val="00B0F0"/>
        </w:rPr>
        <w:t xml:space="preserve">Optional: Insert any additional </w:t>
      </w:r>
      <w:r w:rsidRPr="0024775D">
        <w:rPr>
          <w:rFonts w:cs="Calibri"/>
          <w:i/>
          <w:color w:val="00B0F0"/>
        </w:rPr>
        <w:t>details regarding the responsibi</w:t>
      </w:r>
      <w:r>
        <w:rPr>
          <w:rFonts w:cs="Calibri"/>
          <w:i/>
          <w:color w:val="00B0F0"/>
        </w:rPr>
        <w:t>lities of the Study Coordinator</w:t>
      </w:r>
      <w:r w:rsidR="003E5877">
        <w:rPr>
          <w:rFonts w:cs="Calibri"/>
          <w:i/>
          <w:color w:val="00B0F0"/>
        </w:rPr>
        <w:t>(s)/Designee</w:t>
      </w:r>
      <w:r>
        <w:rPr>
          <w:rFonts w:cs="Calibri"/>
          <w:color w:val="00B0F0"/>
        </w:rPr>
        <w:t>]</w:t>
      </w:r>
    </w:p>
    <w:p w14:paraId="02B05C2A" w14:textId="77777777" w:rsidR="006203F4" w:rsidRPr="006203F4" w:rsidRDefault="006203F4" w:rsidP="006F207D">
      <w:pPr>
        <w:widowControl w:val="0"/>
        <w:autoSpaceDE w:val="0"/>
        <w:autoSpaceDN w:val="0"/>
        <w:adjustRightInd w:val="0"/>
        <w:spacing w:after="0" w:line="240" w:lineRule="auto"/>
        <w:ind w:left="360" w:right="720"/>
        <w:rPr>
          <w:rFonts w:cs="Calibri"/>
          <w:color w:val="00B0F0"/>
        </w:rPr>
      </w:pPr>
    </w:p>
    <w:p w14:paraId="0A60BC0A" w14:textId="77777777" w:rsidR="006B3EDE" w:rsidRPr="006014E7" w:rsidRDefault="006B3EDE" w:rsidP="006B3EDE">
      <w:pPr>
        <w:spacing w:after="0"/>
        <w:ind w:left="360" w:right="-20"/>
        <w:rPr>
          <w:rFonts w:cstheme="minorHAnsi"/>
          <w:b/>
        </w:rPr>
      </w:pPr>
      <w:r w:rsidRPr="006014E7">
        <w:rPr>
          <w:rFonts w:cstheme="minorHAnsi"/>
          <w:b/>
        </w:rPr>
        <w:t>Co</w:t>
      </w:r>
      <w:r>
        <w:rPr>
          <w:rFonts w:cstheme="minorHAnsi"/>
          <w:b/>
        </w:rPr>
        <w:t>-</w:t>
      </w:r>
      <w:r w:rsidRPr="006014E7">
        <w:rPr>
          <w:rFonts w:cstheme="minorHAnsi"/>
          <w:b/>
        </w:rPr>
        <w:t>Investigator(s)</w:t>
      </w:r>
      <w:r>
        <w:rPr>
          <w:rFonts w:cstheme="minorHAnsi"/>
          <w:b/>
        </w:rPr>
        <w:t xml:space="preserve"> </w:t>
      </w:r>
    </w:p>
    <w:p w14:paraId="0A21666C" w14:textId="66D11F71" w:rsidR="0075248C" w:rsidRPr="00F5045C" w:rsidRDefault="006B3EDE" w:rsidP="00347CBB">
      <w:pPr>
        <w:autoSpaceDE w:val="0"/>
        <w:autoSpaceDN w:val="0"/>
        <w:adjustRightInd w:val="0"/>
        <w:spacing w:after="0"/>
        <w:ind w:firstLine="360"/>
        <w:rPr>
          <w:rFonts w:cstheme="minorHAnsi"/>
        </w:rPr>
      </w:pPr>
      <w:r w:rsidRPr="00F5045C">
        <w:t xml:space="preserve">An individual filling this role </w:t>
      </w:r>
      <w:r w:rsidRPr="00F5045C">
        <w:rPr>
          <w:rFonts w:cstheme="minorHAnsi"/>
        </w:rPr>
        <w:t>may be responsible for the following activities:</w:t>
      </w:r>
    </w:p>
    <w:p w14:paraId="5B571F7A" w14:textId="08FDF5A6" w:rsidR="00347CBB" w:rsidRPr="00F5045C" w:rsidRDefault="00347CBB" w:rsidP="00347CBB">
      <w:pPr>
        <w:pStyle w:val="CommentText"/>
        <w:numPr>
          <w:ilvl w:val="0"/>
          <w:numId w:val="22"/>
        </w:numPr>
        <w:spacing w:after="0"/>
        <w:ind w:right="-20"/>
        <w:contextualSpacing/>
        <w:rPr>
          <w:rFonts w:cstheme="minorHAnsi"/>
          <w:sz w:val="22"/>
          <w:szCs w:val="22"/>
        </w:rPr>
      </w:pPr>
      <w:r w:rsidRPr="00F5045C">
        <w:rPr>
          <w:sz w:val="22"/>
          <w:szCs w:val="22"/>
        </w:rPr>
        <w:t>Ensures that the IP is only dispensed according to the approved protocol and to participants that are appropriate</w:t>
      </w:r>
    </w:p>
    <w:p w14:paraId="1E112278" w14:textId="2241898B" w:rsidR="0075248C" w:rsidRPr="00F5045C" w:rsidRDefault="006B3EDE" w:rsidP="0075248C">
      <w:pPr>
        <w:pStyle w:val="CommentText"/>
        <w:numPr>
          <w:ilvl w:val="0"/>
          <w:numId w:val="22"/>
        </w:numPr>
        <w:spacing w:after="0"/>
        <w:ind w:right="-20"/>
        <w:contextualSpacing/>
        <w:rPr>
          <w:rFonts w:cstheme="minorHAnsi"/>
          <w:sz w:val="22"/>
          <w:szCs w:val="22"/>
        </w:rPr>
      </w:pPr>
      <w:r w:rsidRPr="00F5045C">
        <w:rPr>
          <w:rFonts w:cstheme="minorHAnsi"/>
          <w:sz w:val="22"/>
          <w:szCs w:val="22"/>
        </w:rPr>
        <w:t>Notifies the PI and applicable research team members of any</w:t>
      </w:r>
      <w:r w:rsidR="00CF2359" w:rsidRPr="00F5045C">
        <w:rPr>
          <w:rFonts w:cstheme="minorHAnsi"/>
          <w:sz w:val="22"/>
          <w:szCs w:val="22"/>
        </w:rPr>
        <w:t xml:space="preserve"> concerns regarding the IP</w:t>
      </w:r>
    </w:p>
    <w:p w14:paraId="01DDD7AE" w14:textId="7BA242BC" w:rsidR="0075248C" w:rsidRPr="00F5045C" w:rsidRDefault="00CF7075" w:rsidP="0075248C">
      <w:pPr>
        <w:pStyle w:val="CommentText"/>
        <w:numPr>
          <w:ilvl w:val="0"/>
          <w:numId w:val="22"/>
        </w:numPr>
        <w:spacing w:after="0"/>
        <w:ind w:right="-20"/>
        <w:contextualSpacing/>
        <w:rPr>
          <w:rFonts w:cstheme="minorHAnsi"/>
          <w:sz w:val="22"/>
          <w:szCs w:val="22"/>
        </w:rPr>
      </w:pPr>
      <w:r>
        <w:rPr>
          <w:sz w:val="22"/>
          <w:szCs w:val="22"/>
        </w:rPr>
        <w:lastRenderedPageBreak/>
        <w:t>F</w:t>
      </w:r>
      <w:r w:rsidR="0075248C" w:rsidRPr="00F5045C">
        <w:rPr>
          <w:sz w:val="22"/>
          <w:szCs w:val="22"/>
        </w:rPr>
        <w:t xml:space="preserve">ollows all </w:t>
      </w:r>
      <w:r>
        <w:rPr>
          <w:sz w:val="22"/>
          <w:szCs w:val="22"/>
        </w:rPr>
        <w:t xml:space="preserve">applicable </w:t>
      </w:r>
      <w:r w:rsidR="0075248C" w:rsidRPr="00F5045C">
        <w:rPr>
          <w:sz w:val="22"/>
          <w:szCs w:val="22"/>
        </w:rPr>
        <w:t>randomization procedures regarding IP and unblinding/unmasking of IP</w:t>
      </w:r>
    </w:p>
    <w:p w14:paraId="7C9BD88A" w14:textId="0C006D27" w:rsidR="0075248C" w:rsidRPr="0075248C" w:rsidRDefault="0075248C" w:rsidP="0075248C">
      <w:pPr>
        <w:pStyle w:val="ListParagraph"/>
        <w:numPr>
          <w:ilvl w:val="0"/>
          <w:numId w:val="22"/>
        </w:numPr>
        <w:spacing w:after="0" w:line="240" w:lineRule="auto"/>
        <w:ind w:right="-20"/>
        <w:rPr>
          <w:rFonts w:cstheme="minorHAnsi"/>
        </w:rPr>
      </w:pPr>
      <w:r>
        <w:t>Ensures that participants understand the correct use of the IP and provides IRB</w:t>
      </w:r>
      <w:r w:rsidR="00476758">
        <w:t xml:space="preserve"> </w:t>
      </w:r>
      <w:r>
        <w:t xml:space="preserve">approved patient education material when </w:t>
      </w:r>
      <w:r w:rsidR="00F2303A">
        <w:t>applicable</w:t>
      </w:r>
    </w:p>
    <w:p w14:paraId="0CF1AB36" w14:textId="75AB1F9D" w:rsidR="0075248C" w:rsidRPr="0075248C" w:rsidRDefault="0075248C" w:rsidP="0075248C">
      <w:pPr>
        <w:pStyle w:val="ListParagraph"/>
        <w:numPr>
          <w:ilvl w:val="0"/>
          <w:numId w:val="22"/>
        </w:numPr>
        <w:spacing w:after="0" w:line="240" w:lineRule="auto"/>
        <w:ind w:right="-20"/>
        <w:rPr>
          <w:rFonts w:cstheme="minorHAnsi"/>
        </w:rPr>
      </w:pPr>
      <w:r>
        <w:t>Maintains records of the</w:t>
      </w:r>
      <w:r w:rsidR="009E2FE4">
        <w:t xml:space="preserve"> return of</w:t>
      </w:r>
      <w:r>
        <w:t xml:space="preserve"> IP product from participants and returns investigational </w:t>
      </w:r>
      <w:r w:rsidR="00661597">
        <w:t>product back</w:t>
      </w:r>
      <w:r>
        <w:t xml:space="preserve"> to the </w:t>
      </w:r>
      <w:r w:rsidR="00993938">
        <w:t>R</w:t>
      </w:r>
      <w:r>
        <w:t xml:space="preserve">esearch </w:t>
      </w:r>
      <w:r w:rsidR="00993938">
        <w:t>P</w:t>
      </w:r>
      <w:r>
        <w:t>harmacy</w:t>
      </w:r>
      <w:r w:rsidR="00240AD7">
        <w:t xml:space="preserve"> or Sponsor</w:t>
      </w:r>
      <w:r w:rsidR="00DE5931">
        <w:t xml:space="preserve"> as needed</w:t>
      </w:r>
    </w:p>
    <w:p w14:paraId="486CB1E6" w14:textId="63839769" w:rsidR="0075248C" w:rsidRDefault="00CF7075" w:rsidP="006B3EDE">
      <w:pPr>
        <w:pStyle w:val="ListParagraph"/>
        <w:numPr>
          <w:ilvl w:val="0"/>
          <w:numId w:val="22"/>
        </w:numPr>
        <w:spacing w:after="0" w:line="240" w:lineRule="auto"/>
        <w:ind w:right="-20"/>
        <w:rPr>
          <w:rFonts w:cstheme="minorHAnsi"/>
        </w:rPr>
      </w:pPr>
      <w:r>
        <w:t>R</w:t>
      </w:r>
      <w:r w:rsidR="0075248C" w:rsidRPr="00362E10">
        <w:t xml:space="preserve">eceives and provides necessary training prior to using investigational </w:t>
      </w:r>
      <w:r w:rsidR="00240AD7">
        <w:t>product</w:t>
      </w:r>
      <w:r>
        <w:t>, as needed</w:t>
      </w:r>
    </w:p>
    <w:p w14:paraId="121C790B" w14:textId="2DDB9D61" w:rsidR="002A4DF5" w:rsidRDefault="002A4DF5" w:rsidP="00E85252">
      <w:pPr>
        <w:widowControl w:val="0"/>
        <w:autoSpaceDE w:val="0"/>
        <w:autoSpaceDN w:val="0"/>
        <w:adjustRightInd w:val="0"/>
        <w:spacing w:after="0" w:line="240" w:lineRule="auto"/>
        <w:ind w:right="720" w:firstLine="360"/>
        <w:rPr>
          <w:rFonts w:cs="Calibri"/>
          <w:b/>
        </w:rPr>
      </w:pPr>
      <w:r w:rsidRPr="00893A96">
        <w:rPr>
          <w:rFonts w:cs="Calibri"/>
          <w:b/>
        </w:rPr>
        <w:t>(MANDATORY</w:t>
      </w:r>
      <w:r w:rsidRPr="00B9043B">
        <w:rPr>
          <w:rFonts w:cs="Calibri"/>
          <w:b/>
        </w:rPr>
        <w:t xml:space="preserve"> LANGUAGE)</w:t>
      </w:r>
    </w:p>
    <w:p w14:paraId="2881D764" w14:textId="77777777" w:rsidR="00E85252" w:rsidRPr="00DD03A6" w:rsidRDefault="00E85252" w:rsidP="00E85252">
      <w:pPr>
        <w:widowControl w:val="0"/>
        <w:autoSpaceDE w:val="0"/>
        <w:autoSpaceDN w:val="0"/>
        <w:adjustRightInd w:val="0"/>
        <w:spacing w:after="0" w:line="240" w:lineRule="auto"/>
        <w:ind w:right="720" w:firstLine="360"/>
        <w:rPr>
          <w:rFonts w:cs="Calibri"/>
          <w:bCs/>
        </w:rPr>
      </w:pPr>
    </w:p>
    <w:p w14:paraId="3BD39443" w14:textId="4D7836ED" w:rsidR="0036247C" w:rsidRDefault="0036247C" w:rsidP="0036247C">
      <w:pPr>
        <w:widowControl w:val="0"/>
        <w:autoSpaceDE w:val="0"/>
        <w:autoSpaceDN w:val="0"/>
        <w:adjustRightInd w:val="0"/>
        <w:spacing w:after="0" w:line="240" w:lineRule="auto"/>
        <w:ind w:left="360" w:right="720"/>
        <w:rPr>
          <w:rFonts w:cs="Calibri"/>
          <w:i/>
          <w:color w:val="00B0F0"/>
        </w:rPr>
      </w:pPr>
      <w:r w:rsidRPr="0024775D">
        <w:rPr>
          <w:rFonts w:cs="Calibri"/>
          <w:i/>
          <w:color w:val="00B0F0"/>
        </w:rPr>
        <w:t>[Optional: Insert</w:t>
      </w:r>
      <w:r>
        <w:rPr>
          <w:rFonts w:cs="Calibri"/>
          <w:i/>
          <w:color w:val="00B0F0"/>
        </w:rPr>
        <w:t xml:space="preserve"> any additional </w:t>
      </w:r>
      <w:r w:rsidRPr="0024775D">
        <w:rPr>
          <w:rFonts w:cs="Calibri"/>
          <w:i/>
          <w:color w:val="00B0F0"/>
        </w:rPr>
        <w:t>details regarding the responsib</w:t>
      </w:r>
      <w:r>
        <w:rPr>
          <w:rFonts w:cs="Calibri"/>
          <w:i/>
          <w:color w:val="00B0F0"/>
        </w:rPr>
        <w:t xml:space="preserve">ilities of the </w:t>
      </w:r>
      <w:r w:rsidR="00476758">
        <w:rPr>
          <w:rFonts w:cs="Calibri"/>
          <w:i/>
          <w:color w:val="00B0F0"/>
        </w:rPr>
        <w:t>Co-</w:t>
      </w:r>
      <w:r>
        <w:rPr>
          <w:rFonts w:cs="Calibri"/>
          <w:i/>
          <w:color w:val="00B0F0"/>
        </w:rPr>
        <w:t xml:space="preserve"> Investigator</w:t>
      </w:r>
      <w:r w:rsidR="003E5877">
        <w:rPr>
          <w:rFonts w:cs="Calibri"/>
          <w:i/>
          <w:color w:val="00B0F0"/>
        </w:rPr>
        <w:t>(s)</w:t>
      </w:r>
      <w:r>
        <w:rPr>
          <w:rFonts w:cs="Calibri"/>
          <w:i/>
          <w:color w:val="00B0F0"/>
        </w:rPr>
        <w:t>]</w:t>
      </w:r>
    </w:p>
    <w:p w14:paraId="112CF1FE" w14:textId="77777777" w:rsidR="0036247C" w:rsidRDefault="0036247C" w:rsidP="0036247C">
      <w:pPr>
        <w:widowControl w:val="0"/>
        <w:autoSpaceDE w:val="0"/>
        <w:autoSpaceDN w:val="0"/>
        <w:adjustRightInd w:val="0"/>
        <w:spacing w:after="0" w:line="239" w:lineRule="auto"/>
        <w:ind w:left="360" w:right="720"/>
        <w:rPr>
          <w:rFonts w:cs="Calibri"/>
        </w:rPr>
      </w:pPr>
    </w:p>
    <w:p w14:paraId="75A96A77" w14:textId="1B3BA44F" w:rsidR="0036247C" w:rsidRDefault="0036247C" w:rsidP="0036247C">
      <w:pPr>
        <w:widowControl w:val="0"/>
        <w:autoSpaceDE w:val="0"/>
        <w:autoSpaceDN w:val="0"/>
        <w:adjustRightInd w:val="0"/>
        <w:spacing w:after="0" w:line="239" w:lineRule="auto"/>
        <w:ind w:left="360" w:right="720"/>
        <w:rPr>
          <w:rFonts w:cs="Calibri"/>
        </w:rPr>
      </w:pPr>
      <w:r w:rsidRPr="0036247C">
        <w:rPr>
          <w:rFonts w:cs="Calibri"/>
          <w:b/>
        </w:rPr>
        <w:t>Ad</w:t>
      </w:r>
      <w:r>
        <w:rPr>
          <w:rFonts w:cs="Calibri"/>
          <w:b/>
        </w:rPr>
        <w:t>ditional Roles and Responsibilities</w:t>
      </w:r>
      <w:r>
        <w:rPr>
          <w:rFonts w:cs="Calibri"/>
        </w:rPr>
        <w:tab/>
      </w:r>
      <w:r>
        <w:rPr>
          <w:rFonts w:cs="Calibri"/>
        </w:rPr>
        <w:tab/>
      </w:r>
      <w:r w:rsidRPr="0026204C">
        <w:rPr>
          <w:rFonts w:cs="Calibri"/>
          <w:b/>
        </w:rPr>
        <w:t xml:space="preserve"> </w:t>
      </w:r>
      <w:sdt>
        <w:sdtPr>
          <w:rPr>
            <w:rFonts w:cs="Calibri"/>
            <w:b/>
          </w:rPr>
          <w:id w:val="-932126386"/>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p>
    <w:p w14:paraId="7F664333" w14:textId="77777777" w:rsidR="0036247C" w:rsidRDefault="0036247C" w:rsidP="0036247C">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3A40241C" w14:textId="77777777" w:rsidR="003809CE" w:rsidRDefault="003809CE" w:rsidP="0036247C">
      <w:pPr>
        <w:widowControl w:val="0"/>
        <w:autoSpaceDE w:val="0"/>
        <w:autoSpaceDN w:val="0"/>
        <w:adjustRightInd w:val="0"/>
        <w:spacing w:after="0" w:line="240" w:lineRule="auto"/>
        <w:ind w:right="720"/>
        <w:rPr>
          <w:rFonts w:cs="Calibri"/>
          <w:i/>
          <w:color w:val="00B0F0"/>
        </w:rPr>
      </w:pPr>
    </w:p>
    <w:p w14:paraId="6DE4BC89" w14:textId="4A54939A" w:rsidR="00B068E2" w:rsidRDefault="00B068E2" w:rsidP="00B068E2">
      <w:pPr>
        <w:widowControl w:val="0"/>
        <w:autoSpaceDE w:val="0"/>
        <w:autoSpaceDN w:val="0"/>
        <w:adjustRightInd w:val="0"/>
        <w:spacing w:after="0" w:line="240" w:lineRule="auto"/>
        <w:ind w:left="360" w:right="720"/>
        <w:rPr>
          <w:rFonts w:cs="Calibri"/>
          <w:i/>
          <w:color w:val="00B0F0"/>
        </w:rPr>
      </w:pPr>
      <w:r w:rsidRPr="0024775D">
        <w:rPr>
          <w:rFonts w:cs="Calibri"/>
          <w:i/>
          <w:color w:val="00B0F0"/>
        </w:rPr>
        <w:t xml:space="preserve">[Optional: Insert any additional role(s) and responsibilities that apply to this </w:t>
      </w:r>
      <w:r w:rsidR="005E4A9F">
        <w:rPr>
          <w:rFonts w:cs="Calibri"/>
          <w:i/>
          <w:color w:val="00B0F0"/>
        </w:rPr>
        <w:t>SPG</w:t>
      </w:r>
      <w:r w:rsidRPr="0024775D">
        <w:rPr>
          <w:rFonts w:cs="Calibri"/>
          <w:i/>
          <w:color w:val="00B0F0"/>
        </w:rPr>
        <w:t>]</w:t>
      </w:r>
    </w:p>
    <w:p w14:paraId="0BDFA0E5" w14:textId="77777777" w:rsidR="00CD12A1" w:rsidRDefault="00CD12A1" w:rsidP="00CD12A1">
      <w:pPr>
        <w:widowControl w:val="0"/>
        <w:autoSpaceDE w:val="0"/>
        <w:autoSpaceDN w:val="0"/>
        <w:adjustRightInd w:val="0"/>
        <w:spacing w:after="0" w:line="240" w:lineRule="auto"/>
        <w:ind w:left="360" w:right="720"/>
        <w:rPr>
          <w:rFonts w:cs="Calibri"/>
          <w:color w:val="00B0F0"/>
        </w:rPr>
      </w:pPr>
    </w:p>
    <w:p w14:paraId="3C4F7B43" w14:textId="77777777" w:rsidR="00F63389" w:rsidRDefault="00695A12" w:rsidP="006F0AFD">
      <w:pPr>
        <w:pStyle w:val="ListParagraph"/>
        <w:numPr>
          <w:ilvl w:val="0"/>
          <w:numId w:val="1"/>
        </w:numPr>
        <w:spacing w:after="0"/>
        <w:ind w:right="720"/>
        <w:rPr>
          <w:b/>
        </w:rPr>
      </w:pPr>
      <w:r w:rsidRPr="00695A12">
        <w:rPr>
          <w:b/>
        </w:rPr>
        <w:t>PROCEDURE</w:t>
      </w:r>
      <w:r w:rsidR="00BE6802">
        <w:rPr>
          <w:b/>
        </w:rPr>
        <w:t xml:space="preserve"> </w:t>
      </w:r>
    </w:p>
    <w:p w14:paraId="37C625D8" w14:textId="518EE04E" w:rsidR="00137106" w:rsidRDefault="00CF7075" w:rsidP="00137106">
      <w:pPr>
        <w:spacing w:after="0"/>
        <w:ind w:right="720" w:firstLine="360"/>
        <w:rPr>
          <w:b/>
        </w:rPr>
      </w:pPr>
      <w:r>
        <w:rPr>
          <w:b/>
        </w:rPr>
        <w:t>Non-U</w:t>
      </w:r>
      <w:r w:rsidR="00856AAC">
        <w:rPr>
          <w:b/>
        </w:rPr>
        <w:t>niversity of Michigan</w:t>
      </w:r>
      <w:r w:rsidR="000301C9">
        <w:rPr>
          <w:b/>
        </w:rPr>
        <w:t>,</w:t>
      </w:r>
      <w:r>
        <w:rPr>
          <w:b/>
        </w:rPr>
        <w:t xml:space="preserve"> </w:t>
      </w:r>
      <w:r w:rsidR="00137106">
        <w:rPr>
          <w:b/>
        </w:rPr>
        <w:t>Sponsor Initiated Clinical Trial</w:t>
      </w:r>
      <w:r>
        <w:rPr>
          <w:b/>
        </w:rPr>
        <w:t xml:space="preserve"> Regulatory Obligations</w:t>
      </w:r>
    </w:p>
    <w:p w14:paraId="70DE52B7" w14:textId="77777777" w:rsidR="002B7891" w:rsidRPr="002B7891" w:rsidRDefault="002B7891" w:rsidP="00137106">
      <w:pPr>
        <w:spacing w:after="0"/>
        <w:ind w:right="720" w:firstLine="360"/>
      </w:pPr>
    </w:p>
    <w:p w14:paraId="06C27C2B" w14:textId="160D9EC6" w:rsidR="00BD3334" w:rsidRDefault="00A871EB" w:rsidP="00137106">
      <w:pPr>
        <w:widowControl w:val="0"/>
        <w:autoSpaceDE w:val="0"/>
        <w:autoSpaceDN w:val="0"/>
        <w:adjustRightInd w:val="0"/>
        <w:spacing w:after="0" w:line="239" w:lineRule="auto"/>
        <w:ind w:left="360" w:right="720"/>
        <w:rPr>
          <w:i/>
          <w:color w:val="00B0F0"/>
        </w:rPr>
      </w:pPr>
      <w:r>
        <w:rPr>
          <w:i/>
          <w:color w:val="00B0F0"/>
        </w:rPr>
        <w:t>[</w:t>
      </w:r>
      <w:r w:rsidR="000301C9">
        <w:rPr>
          <w:i/>
          <w:color w:val="00B0F0"/>
        </w:rPr>
        <w:t>Describe the process for collecting and storing the IP documentation necessary to complete the IRB application (i.e. IB brochure, package insert, manufacturing information, etc.</w:t>
      </w:r>
      <w:r w:rsidR="00E96008">
        <w:rPr>
          <w:i/>
          <w:color w:val="00B0F0"/>
        </w:rPr>
        <w:t>)</w:t>
      </w:r>
      <w:r w:rsidR="00137106">
        <w:rPr>
          <w:i/>
          <w:color w:val="00B0F0"/>
        </w:rPr>
        <w:t>]</w:t>
      </w:r>
    </w:p>
    <w:p w14:paraId="3C8A2AC7" w14:textId="77777777" w:rsidR="00167D9E" w:rsidRDefault="00167D9E" w:rsidP="00137106">
      <w:pPr>
        <w:widowControl w:val="0"/>
        <w:autoSpaceDE w:val="0"/>
        <w:autoSpaceDN w:val="0"/>
        <w:adjustRightInd w:val="0"/>
        <w:spacing w:after="0" w:line="239" w:lineRule="auto"/>
        <w:ind w:left="360" w:right="720"/>
        <w:rPr>
          <w:i/>
          <w:color w:val="00B0F0"/>
        </w:rPr>
      </w:pPr>
    </w:p>
    <w:p w14:paraId="49D57252" w14:textId="19EABFE5" w:rsidR="00D71D66" w:rsidRDefault="00D71D66" w:rsidP="00137106">
      <w:pPr>
        <w:widowControl w:val="0"/>
        <w:autoSpaceDE w:val="0"/>
        <w:autoSpaceDN w:val="0"/>
        <w:adjustRightInd w:val="0"/>
        <w:spacing w:after="0" w:line="239" w:lineRule="auto"/>
        <w:ind w:left="360" w:right="720"/>
        <w:rPr>
          <w:b/>
        </w:rPr>
      </w:pPr>
      <w:r w:rsidRPr="00D71D66">
        <w:rPr>
          <w:b/>
        </w:rPr>
        <w:t>U</w:t>
      </w:r>
      <w:r w:rsidR="00856AAC">
        <w:rPr>
          <w:b/>
        </w:rPr>
        <w:t xml:space="preserve">niversity of </w:t>
      </w:r>
      <w:r w:rsidRPr="00D71D66">
        <w:rPr>
          <w:b/>
        </w:rPr>
        <w:t>M</w:t>
      </w:r>
      <w:r w:rsidR="00856AAC">
        <w:rPr>
          <w:b/>
        </w:rPr>
        <w:t>ichigan</w:t>
      </w:r>
      <w:r w:rsidRPr="00D71D66">
        <w:rPr>
          <w:b/>
        </w:rPr>
        <w:t xml:space="preserve"> Sponsor-Initiated Clinical Trial Regulatory Obligations</w:t>
      </w:r>
    </w:p>
    <w:p w14:paraId="6424BFC8" w14:textId="77777777" w:rsidR="002B7891" w:rsidRPr="002B7891" w:rsidRDefault="002B7891" w:rsidP="00137106">
      <w:pPr>
        <w:widowControl w:val="0"/>
        <w:autoSpaceDE w:val="0"/>
        <w:autoSpaceDN w:val="0"/>
        <w:adjustRightInd w:val="0"/>
        <w:spacing w:after="0" w:line="239" w:lineRule="auto"/>
        <w:ind w:left="360" w:right="720"/>
        <w:rPr>
          <w:i/>
        </w:rPr>
      </w:pPr>
    </w:p>
    <w:p w14:paraId="2B2B4FB3" w14:textId="374EE426" w:rsidR="00D71D66" w:rsidRDefault="00D71D66" w:rsidP="00D71D66">
      <w:pPr>
        <w:widowControl w:val="0"/>
        <w:autoSpaceDE w:val="0"/>
        <w:autoSpaceDN w:val="0"/>
        <w:adjustRightInd w:val="0"/>
        <w:spacing w:after="0" w:line="239" w:lineRule="auto"/>
        <w:ind w:left="360" w:right="720"/>
        <w:rPr>
          <w:i/>
          <w:color w:val="00B0F0"/>
        </w:rPr>
      </w:pPr>
      <w:r w:rsidRPr="00B068E2">
        <w:rPr>
          <w:i/>
          <w:color w:val="00B0F0"/>
        </w:rPr>
        <w:t xml:space="preserve">[Describe the process </w:t>
      </w:r>
      <w:r>
        <w:rPr>
          <w:i/>
          <w:color w:val="00B0F0"/>
        </w:rPr>
        <w:t>to collect and distribute all necessary information</w:t>
      </w:r>
      <w:r w:rsidR="00C461FA">
        <w:rPr>
          <w:i/>
          <w:color w:val="00B0F0"/>
        </w:rPr>
        <w:t xml:space="preserve"> regarding the</w:t>
      </w:r>
      <w:r>
        <w:rPr>
          <w:i/>
          <w:color w:val="00B0F0"/>
        </w:rPr>
        <w:t xml:space="preserve"> IP </w:t>
      </w:r>
      <w:r w:rsidR="00C461FA">
        <w:rPr>
          <w:i/>
          <w:color w:val="00B0F0"/>
        </w:rPr>
        <w:t>(i.e. IB brochure, package insert, manufacturing information, etc.)</w:t>
      </w:r>
      <w:r>
        <w:rPr>
          <w:i/>
          <w:color w:val="00B0F0"/>
        </w:rPr>
        <w:t xml:space="preserve"> </w:t>
      </w:r>
      <w:r w:rsidR="00C461FA">
        <w:rPr>
          <w:i/>
          <w:color w:val="00B0F0"/>
        </w:rPr>
        <w:t>to all participating research staff.</w:t>
      </w:r>
      <w:r>
        <w:rPr>
          <w:i/>
          <w:color w:val="00B0F0"/>
        </w:rPr>
        <w:t>]</w:t>
      </w:r>
    </w:p>
    <w:p w14:paraId="671EBC6A" w14:textId="5DDB86F6" w:rsidR="003507C2" w:rsidRDefault="003507C2" w:rsidP="00FA420A">
      <w:pPr>
        <w:widowControl w:val="0"/>
        <w:autoSpaceDE w:val="0"/>
        <w:autoSpaceDN w:val="0"/>
        <w:adjustRightInd w:val="0"/>
        <w:spacing w:after="0" w:line="239" w:lineRule="auto"/>
        <w:ind w:right="720"/>
        <w:rPr>
          <w:color w:val="00B0F0"/>
        </w:rPr>
      </w:pPr>
    </w:p>
    <w:p w14:paraId="5CE0DE1F" w14:textId="66DEB5A2" w:rsidR="00BE6802" w:rsidRDefault="00EB3076" w:rsidP="00BE6802">
      <w:pPr>
        <w:spacing w:after="0" w:line="240" w:lineRule="auto"/>
        <w:ind w:right="720" w:firstLine="360"/>
        <w:rPr>
          <w:b/>
        </w:rPr>
      </w:pPr>
      <w:r>
        <w:rPr>
          <w:b/>
        </w:rPr>
        <w:t>Investigational Drug Accountability</w:t>
      </w:r>
    </w:p>
    <w:p w14:paraId="5BF1BE77" w14:textId="77777777" w:rsidR="002B7891" w:rsidRPr="002B7891" w:rsidRDefault="002B7891" w:rsidP="00BE6802">
      <w:pPr>
        <w:spacing w:after="0" w:line="240" w:lineRule="auto"/>
        <w:ind w:right="720" w:firstLine="360"/>
      </w:pPr>
    </w:p>
    <w:p w14:paraId="72088E4E" w14:textId="18B91FB4" w:rsidR="00950BF6" w:rsidRDefault="00BD3334" w:rsidP="00950BF6">
      <w:pPr>
        <w:widowControl w:val="0"/>
        <w:autoSpaceDE w:val="0"/>
        <w:autoSpaceDN w:val="0"/>
        <w:adjustRightInd w:val="0"/>
        <w:spacing w:after="0" w:line="239" w:lineRule="auto"/>
        <w:ind w:left="360" w:right="720"/>
        <w:rPr>
          <w:i/>
          <w:color w:val="00B0F0"/>
        </w:rPr>
      </w:pPr>
      <w:r w:rsidRPr="00B068E2">
        <w:rPr>
          <w:i/>
          <w:color w:val="00B0F0"/>
        </w:rPr>
        <w:t xml:space="preserve">[Describe </w:t>
      </w:r>
      <w:r w:rsidR="00950BF6">
        <w:rPr>
          <w:i/>
          <w:color w:val="00B0F0"/>
        </w:rPr>
        <w:t xml:space="preserve">the process to document drug accountability </w:t>
      </w:r>
      <w:r w:rsidR="006D04F3">
        <w:rPr>
          <w:i/>
          <w:color w:val="00B0F0"/>
        </w:rPr>
        <w:t>(i.e</w:t>
      </w:r>
      <w:r w:rsidR="00950BF6">
        <w:rPr>
          <w:i/>
          <w:color w:val="00B0F0"/>
        </w:rPr>
        <w:t>. clinical trials will be managed by Research Pharmacy</w:t>
      </w:r>
      <w:r w:rsidR="00E96008">
        <w:rPr>
          <w:i/>
          <w:color w:val="00B0F0"/>
        </w:rPr>
        <w:t>)</w:t>
      </w:r>
      <w:r>
        <w:rPr>
          <w:i/>
          <w:color w:val="00B0F0"/>
        </w:rPr>
        <w:t>]</w:t>
      </w:r>
    </w:p>
    <w:p w14:paraId="00806D14" w14:textId="77777777" w:rsidR="00950BF6" w:rsidRDefault="00950BF6" w:rsidP="00950BF6">
      <w:pPr>
        <w:widowControl w:val="0"/>
        <w:autoSpaceDE w:val="0"/>
        <w:autoSpaceDN w:val="0"/>
        <w:adjustRightInd w:val="0"/>
        <w:spacing w:after="0" w:line="239" w:lineRule="auto"/>
        <w:ind w:left="360" w:right="720"/>
        <w:rPr>
          <w:i/>
          <w:color w:val="00B0F0"/>
        </w:rPr>
      </w:pPr>
    </w:p>
    <w:p w14:paraId="4EED6ECC" w14:textId="11020885" w:rsidR="00950BF6" w:rsidRDefault="00950BF6" w:rsidP="00950BF6">
      <w:pPr>
        <w:widowControl w:val="0"/>
        <w:autoSpaceDE w:val="0"/>
        <w:autoSpaceDN w:val="0"/>
        <w:adjustRightInd w:val="0"/>
        <w:spacing w:after="0" w:line="239" w:lineRule="auto"/>
        <w:ind w:left="360" w:right="720"/>
        <w:rPr>
          <w:i/>
          <w:color w:val="00B0F0"/>
        </w:rPr>
      </w:pPr>
      <w:r>
        <w:rPr>
          <w:i/>
          <w:color w:val="00B0F0"/>
        </w:rPr>
        <w:t>[When not using the Research Pharmacy</w:t>
      </w:r>
      <w:r w:rsidR="003C2166">
        <w:rPr>
          <w:i/>
          <w:color w:val="00B0F0"/>
        </w:rPr>
        <w:t>,</w:t>
      </w:r>
      <w:r>
        <w:rPr>
          <w:i/>
          <w:color w:val="00B0F0"/>
        </w:rPr>
        <w:t xml:space="preserve"> </w:t>
      </w:r>
      <w:r w:rsidR="00B14A83">
        <w:rPr>
          <w:i/>
          <w:color w:val="00B0F0"/>
        </w:rPr>
        <w:t>(</w:t>
      </w:r>
      <w:r w:rsidR="003C2166">
        <w:rPr>
          <w:i/>
          <w:color w:val="00B0F0"/>
        </w:rPr>
        <w:t>waiver required)</w:t>
      </w:r>
      <w:r w:rsidR="00B14A83">
        <w:rPr>
          <w:i/>
          <w:color w:val="00B0F0"/>
        </w:rPr>
        <w:t xml:space="preserve"> </w:t>
      </w:r>
      <w:r w:rsidR="003C2166">
        <w:rPr>
          <w:i/>
          <w:color w:val="00B0F0"/>
        </w:rPr>
        <w:t>d</w:t>
      </w:r>
      <w:r>
        <w:rPr>
          <w:i/>
          <w:color w:val="00B0F0"/>
        </w:rPr>
        <w:t xml:space="preserve">escribe the process that the </w:t>
      </w:r>
      <w:r w:rsidR="003C2166">
        <w:rPr>
          <w:i/>
          <w:color w:val="00B0F0"/>
        </w:rPr>
        <w:t>research</w:t>
      </w:r>
      <w:r w:rsidR="00325E56">
        <w:rPr>
          <w:i/>
          <w:color w:val="00B0F0"/>
        </w:rPr>
        <w:t xml:space="preserve"> </w:t>
      </w:r>
      <w:r>
        <w:rPr>
          <w:i/>
          <w:color w:val="00B0F0"/>
        </w:rPr>
        <w:t xml:space="preserve">team will </w:t>
      </w:r>
      <w:r w:rsidR="003C2166">
        <w:rPr>
          <w:i/>
          <w:color w:val="00B0F0"/>
        </w:rPr>
        <w:t>follow</w:t>
      </w:r>
      <w:r>
        <w:rPr>
          <w:i/>
          <w:color w:val="00B0F0"/>
        </w:rPr>
        <w:t xml:space="preserve"> in order to manage all necessary regulations (i.e. where will the </w:t>
      </w:r>
      <w:r>
        <w:rPr>
          <w:i/>
          <w:color w:val="00B0F0"/>
        </w:rPr>
        <w:lastRenderedPageBreak/>
        <w:t xml:space="preserve">drugs be kept, what type of logs will be maintained, </w:t>
      </w:r>
      <w:r w:rsidR="006D04F3">
        <w:rPr>
          <w:i/>
          <w:color w:val="00B0F0"/>
        </w:rPr>
        <w:t>etc.</w:t>
      </w:r>
      <w:r>
        <w:rPr>
          <w:i/>
          <w:color w:val="00B0F0"/>
        </w:rPr>
        <w:t>)</w:t>
      </w:r>
      <w:r w:rsidR="00E96008">
        <w:rPr>
          <w:i/>
          <w:color w:val="00B0F0"/>
        </w:rPr>
        <w:t>]</w:t>
      </w:r>
    </w:p>
    <w:p w14:paraId="59E55B53" w14:textId="77777777" w:rsidR="00950BF6" w:rsidRDefault="00950BF6" w:rsidP="00950BF6">
      <w:pPr>
        <w:widowControl w:val="0"/>
        <w:autoSpaceDE w:val="0"/>
        <w:autoSpaceDN w:val="0"/>
        <w:adjustRightInd w:val="0"/>
        <w:spacing w:after="0" w:line="239" w:lineRule="auto"/>
        <w:ind w:left="360" w:right="720"/>
        <w:rPr>
          <w:i/>
          <w:color w:val="00B0F0"/>
        </w:rPr>
      </w:pPr>
    </w:p>
    <w:p w14:paraId="4D48311C" w14:textId="6065B167" w:rsidR="00950BF6" w:rsidRDefault="00950BF6" w:rsidP="00BD3334">
      <w:pPr>
        <w:widowControl w:val="0"/>
        <w:autoSpaceDE w:val="0"/>
        <w:autoSpaceDN w:val="0"/>
        <w:adjustRightInd w:val="0"/>
        <w:spacing w:after="0" w:line="239" w:lineRule="auto"/>
        <w:ind w:left="360" w:right="720"/>
        <w:rPr>
          <w:i/>
          <w:color w:val="00B0F0"/>
        </w:rPr>
      </w:pPr>
      <w:r>
        <w:rPr>
          <w:i/>
          <w:color w:val="00B0F0"/>
        </w:rPr>
        <w:t>[</w:t>
      </w:r>
      <w:r w:rsidR="00FE7845">
        <w:rPr>
          <w:i/>
          <w:color w:val="00B0F0"/>
        </w:rPr>
        <w:t>For multi-site trials, d</w:t>
      </w:r>
      <w:r>
        <w:rPr>
          <w:i/>
          <w:color w:val="00B0F0"/>
        </w:rPr>
        <w:t xml:space="preserve">escribe the process </w:t>
      </w:r>
      <w:r w:rsidR="00FE7845">
        <w:rPr>
          <w:i/>
          <w:color w:val="00B0F0"/>
        </w:rPr>
        <w:t xml:space="preserve">used </w:t>
      </w:r>
      <w:r w:rsidR="00FA420A">
        <w:rPr>
          <w:i/>
          <w:color w:val="00B0F0"/>
        </w:rPr>
        <w:t xml:space="preserve">at the </w:t>
      </w:r>
      <w:r w:rsidR="00FE7845">
        <w:rPr>
          <w:i/>
          <w:color w:val="00B0F0"/>
        </w:rPr>
        <w:t>site(s</w:t>
      </w:r>
      <w:r w:rsidR="00661597">
        <w:rPr>
          <w:i/>
          <w:color w:val="00B0F0"/>
        </w:rPr>
        <w:t>) to</w:t>
      </w:r>
      <w:r>
        <w:rPr>
          <w:i/>
          <w:color w:val="00B0F0"/>
        </w:rPr>
        <w:t xml:space="preserve"> document additional steps in the drug accountability trail (i.e. delivery of study medications to participants </w:t>
      </w:r>
      <w:r w:rsidR="00661597">
        <w:rPr>
          <w:i/>
          <w:color w:val="00B0F0"/>
        </w:rPr>
        <w:t>and returns</w:t>
      </w:r>
      <w:r>
        <w:rPr>
          <w:i/>
          <w:color w:val="00B0F0"/>
        </w:rPr>
        <w:t>.</w:t>
      </w:r>
      <w:r w:rsidR="00FB51EC">
        <w:rPr>
          <w:i/>
          <w:color w:val="00B0F0"/>
        </w:rPr>
        <w:t>)</w:t>
      </w:r>
      <w:r>
        <w:rPr>
          <w:i/>
          <w:color w:val="00B0F0"/>
        </w:rPr>
        <w:t>]</w:t>
      </w:r>
    </w:p>
    <w:p w14:paraId="32915D8C" w14:textId="77777777" w:rsidR="00E76240" w:rsidRDefault="00E76240" w:rsidP="00950BF6">
      <w:pPr>
        <w:widowControl w:val="0"/>
        <w:autoSpaceDE w:val="0"/>
        <w:autoSpaceDN w:val="0"/>
        <w:adjustRightInd w:val="0"/>
        <w:spacing w:after="0" w:line="239" w:lineRule="auto"/>
        <w:ind w:right="720"/>
        <w:rPr>
          <w:i/>
          <w:color w:val="00B0F0"/>
        </w:rPr>
      </w:pPr>
    </w:p>
    <w:p w14:paraId="41D41E51" w14:textId="17CDE524" w:rsidR="000B35F9" w:rsidRDefault="004B7053" w:rsidP="00E95934">
      <w:pPr>
        <w:widowControl w:val="0"/>
        <w:autoSpaceDE w:val="0"/>
        <w:autoSpaceDN w:val="0"/>
        <w:adjustRightInd w:val="0"/>
        <w:spacing w:after="0" w:line="239" w:lineRule="auto"/>
        <w:ind w:left="360" w:right="720"/>
        <w:rPr>
          <w:i/>
          <w:color w:val="00B0F0"/>
        </w:rPr>
      </w:pPr>
      <w:r>
        <w:rPr>
          <w:i/>
          <w:color w:val="00B0F0"/>
        </w:rPr>
        <w:t>[</w:t>
      </w:r>
      <w:r w:rsidR="00FE7845">
        <w:rPr>
          <w:i/>
          <w:color w:val="00B0F0"/>
        </w:rPr>
        <w:t>For multi-site trials, d</w:t>
      </w:r>
      <w:r w:rsidR="00E95934">
        <w:rPr>
          <w:i/>
          <w:color w:val="00B0F0"/>
        </w:rPr>
        <w:t xml:space="preserve">escribe the </w:t>
      </w:r>
      <w:r w:rsidR="00E95934" w:rsidRPr="00B068E2">
        <w:rPr>
          <w:i/>
          <w:color w:val="00B0F0"/>
        </w:rPr>
        <w:t xml:space="preserve">process </w:t>
      </w:r>
      <w:r w:rsidR="00FE7845">
        <w:rPr>
          <w:i/>
          <w:color w:val="00B0F0"/>
        </w:rPr>
        <w:t xml:space="preserve">used </w:t>
      </w:r>
      <w:r w:rsidR="00E95934">
        <w:rPr>
          <w:i/>
          <w:color w:val="00B0F0"/>
        </w:rPr>
        <w:t>when</w:t>
      </w:r>
      <w:r w:rsidR="000B35F9">
        <w:rPr>
          <w:i/>
          <w:color w:val="00B0F0"/>
        </w:rPr>
        <w:t xml:space="preserve"> a</w:t>
      </w:r>
      <w:r w:rsidR="00E95934">
        <w:rPr>
          <w:i/>
          <w:color w:val="00B0F0"/>
        </w:rPr>
        <w:t xml:space="preserve"> </w:t>
      </w:r>
      <w:r w:rsidR="000B35F9">
        <w:rPr>
          <w:i/>
          <w:color w:val="00B0F0"/>
        </w:rPr>
        <w:t xml:space="preserve">non-UM </w:t>
      </w:r>
      <w:r w:rsidR="00FE7845">
        <w:rPr>
          <w:i/>
          <w:color w:val="00B0F0"/>
        </w:rPr>
        <w:t>p</w:t>
      </w:r>
      <w:r w:rsidR="00F57351">
        <w:rPr>
          <w:i/>
          <w:color w:val="00B0F0"/>
        </w:rPr>
        <w:t xml:space="preserve">harmacy </w:t>
      </w:r>
      <w:r w:rsidR="00927C08">
        <w:rPr>
          <w:i/>
          <w:color w:val="00B0F0"/>
        </w:rPr>
        <w:t xml:space="preserve">has agreed to </w:t>
      </w:r>
      <w:r w:rsidR="00E95934">
        <w:rPr>
          <w:i/>
          <w:color w:val="00B0F0"/>
        </w:rPr>
        <w:t>be the central hub for shipping study drugs to other sites</w:t>
      </w:r>
      <w:r w:rsidR="00A341CD">
        <w:rPr>
          <w:i/>
          <w:color w:val="00B0F0"/>
        </w:rPr>
        <w:t>.</w:t>
      </w:r>
      <w:r w:rsidR="00E96008">
        <w:rPr>
          <w:i/>
          <w:color w:val="00B0F0"/>
        </w:rPr>
        <w:t>]</w:t>
      </w:r>
    </w:p>
    <w:p w14:paraId="503CEB22" w14:textId="77777777" w:rsidR="005D3407" w:rsidRDefault="005D3407" w:rsidP="00E95934">
      <w:pPr>
        <w:widowControl w:val="0"/>
        <w:autoSpaceDE w:val="0"/>
        <w:autoSpaceDN w:val="0"/>
        <w:adjustRightInd w:val="0"/>
        <w:spacing w:after="0" w:line="239" w:lineRule="auto"/>
        <w:ind w:left="360" w:right="720"/>
        <w:rPr>
          <w:i/>
          <w:color w:val="00B0F0"/>
        </w:rPr>
      </w:pPr>
    </w:p>
    <w:p w14:paraId="6D5A6A0C" w14:textId="7E09BED3" w:rsidR="00F73EA0" w:rsidRPr="005D3407" w:rsidRDefault="00E96008" w:rsidP="00E76240">
      <w:pPr>
        <w:widowControl w:val="0"/>
        <w:autoSpaceDE w:val="0"/>
        <w:autoSpaceDN w:val="0"/>
        <w:adjustRightInd w:val="0"/>
        <w:spacing w:after="0" w:line="239" w:lineRule="auto"/>
        <w:ind w:left="360" w:right="720"/>
        <w:rPr>
          <w:i/>
          <w:color w:val="00B0F0"/>
        </w:rPr>
      </w:pPr>
      <w:r w:rsidRPr="005D3407">
        <w:rPr>
          <w:i/>
          <w:color w:val="00B0F0"/>
        </w:rPr>
        <w:t>[</w:t>
      </w:r>
      <w:r w:rsidR="00F2494A" w:rsidRPr="005D3407">
        <w:rPr>
          <w:i/>
          <w:color w:val="00B0F0"/>
        </w:rPr>
        <w:t>Describe the process for authorizing</w:t>
      </w:r>
      <w:r w:rsidR="005E222C" w:rsidRPr="005D3407">
        <w:rPr>
          <w:i/>
          <w:color w:val="00B0F0"/>
        </w:rPr>
        <w:t xml:space="preserve"> and discontinuing</w:t>
      </w:r>
      <w:r w:rsidR="00F2494A" w:rsidRPr="005D3407">
        <w:rPr>
          <w:i/>
          <w:color w:val="00B0F0"/>
        </w:rPr>
        <w:t xml:space="preserve"> the distribution of IP to study sites</w:t>
      </w:r>
      <w:r w:rsidR="005E222C" w:rsidRPr="005D3407">
        <w:rPr>
          <w:i/>
          <w:color w:val="00B0F0"/>
        </w:rPr>
        <w:t>. Include a description of any relevant documentation associated with the process (i.e. pharmacy manual) and how it will be managed.</w:t>
      </w:r>
      <w:r>
        <w:rPr>
          <w:i/>
          <w:color w:val="00B0F0"/>
        </w:rPr>
        <w:t>]</w:t>
      </w:r>
    </w:p>
    <w:p w14:paraId="624C006C" w14:textId="77777777" w:rsidR="00E96008" w:rsidRDefault="00E96008" w:rsidP="00E76240">
      <w:pPr>
        <w:widowControl w:val="0"/>
        <w:autoSpaceDE w:val="0"/>
        <w:autoSpaceDN w:val="0"/>
        <w:adjustRightInd w:val="0"/>
        <w:spacing w:after="0" w:line="239" w:lineRule="auto"/>
        <w:ind w:left="360" w:right="720"/>
        <w:rPr>
          <w:color w:val="00B0F0"/>
        </w:rPr>
      </w:pPr>
    </w:p>
    <w:p w14:paraId="079E10B0" w14:textId="216CB9D6" w:rsidR="00FA420A" w:rsidRDefault="00FA420A" w:rsidP="00FA420A">
      <w:pPr>
        <w:widowControl w:val="0"/>
        <w:autoSpaceDE w:val="0"/>
        <w:autoSpaceDN w:val="0"/>
        <w:adjustRightInd w:val="0"/>
        <w:spacing w:after="0" w:line="239" w:lineRule="auto"/>
        <w:ind w:left="360" w:right="720"/>
        <w:rPr>
          <w:b/>
        </w:rPr>
      </w:pPr>
      <w:r w:rsidRPr="00137106">
        <w:rPr>
          <w:b/>
        </w:rPr>
        <w:t xml:space="preserve">Investigational Device </w:t>
      </w:r>
      <w:r w:rsidR="005E4E9B">
        <w:rPr>
          <w:b/>
        </w:rPr>
        <w:t>A</w:t>
      </w:r>
      <w:r w:rsidR="005E4E9B" w:rsidRPr="00137106">
        <w:rPr>
          <w:b/>
        </w:rPr>
        <w:t>ccountability</w:t>
      </w:r>
    </w:p>
    <w:p w14:paraId="2256185F" w14:textId="77777777" w:rsidR="002B7891" w:rsidRPr="002B7891" w:rsidRDefault="002B7891" w:rsidP="00FA420A">
      <w:pPr>
        <w:widowControl w:val="0"/>
        <w:autoSpaceDE w:val="0"/>
        <w:autoSpaceDN w:val="0"/>
        <w:adjustRightInd w:val="0"/>
        <w:spacing w:after="0" w:line="239" w:lineRule="auto"/>
        <w:ind w:left="360" w:right="720"/>
      </w:pPr>
    </w:p>
    <w:p w14:paraId="55F2EFED" w14:textId="368064CD" w:rsidR="00FA420A" w:rsidRDefault="00FA420A" w:rsidP="00FA420A">
      <w:pPr>
        <w:widowControl w:val="0"/>
        <w:autoSpaceDE w:val="0"/>
        <w:autoSpaceDN w:val="0"/>
        <w:adjustRightInd w:val="0"/>
        <w:spacing w:after="0" w:line="239" w:lineRule="auto"/>
        <w:ind w:left="360" w:right="720"/>
        <w:rPr>
          <w:rFonts w:cs="Times New Roman"/>
          <w:i/>
          <w:color w:val="00B0F0"/>
        </w:rPr>
      </w:pPr>
      <w:r w:rsidRPr="003B305F">
        <w:rPr>
          <w:i/>
          <w:color w:val="00B0F0"/>
        </w:rPr>
        <w:t xml:space="preserve">[Describe the processes </w:t>
      </w:r>
      <w:r w:rsidRPr="005D3407">
        <w:rPr>
          <w:rFonts w:cs="Times New Roman"/>
          <w:i/>
          <w:color w:val="00B0F0"/>
        </w:rPr>
        <w:t xml:space="preserve">to store and manage the device used including the receipt of shipment, inventory at the site, dispensation/use by each participant, </w:t>
      </w:r>
      <w:r w:rsidR="003C2166" w:rsidRPr="005D3407">
        <w:rPr>
          <w:rFonts w:cs="Times New Roman"/>
          <w:i/>
          <w:color w:val="00B0F0"/>
        </w:rPr>
        <w:t xml:space="preserve">and </w:t>
      </w:r>
      <w:r w:rsidRPr="005D3407">
        <w:rPr>
          <w:rFonts w:cs="Times New Roman"/>
          <w:i/>
          <w:color w:val="00B0F0"/>
        </w:rPr>
        <w:t xml:space="preserve">final </w:t>
      </w:r>
      <w:r w:rsidR="003C2166" w:rsidRPr="005D3407">
        <w:rPr>
          <w:rFonts w:cs="Times New Roman"/>
          <w:i/>
          <w:color w:val="00B0F0"/>
        </w:rPr>
        <w:t>dispensation</w:t>
      </w:r>
      <w:r w:rsidRPr="005D3407">
        <w:rPr>
          <w:rFonts w:cs="Times New Roman"/>
          <w:i/>
          <w:color w:val="00B0F0"/>
        </w:rPr>
        <w:t xml:space="preserve">, </w:t>
      </w:r>
      <w:r w:rsidR="00E96008" w:rsidRPr="005D3407">
        <w:rPr>
          <w:rFonts w:cs="Times New Roman"/>
          <w:i/>
          <w:color w:val="00B0F0"/>
        </w:rPr>
        <w:t>(</w:t>
      </w:r>
      <w:r w:rsidRPr="005D3407">
        <w:rPr>
          <w:i/>
          <w:color w:val="00B0F0"/>
        </w:rPr>
        <w:t>why and how many units of the device have been returned the sponsor, repaired, or otherwise disposed of.</w:t>
      </w:r>
      <w:r w:rsidR="00E96008" w:rsidRPr="005D3407">
        <w:rPr>
          <w:i/>
          <w:color w:val="00B0F0"/>
        </w:rPr>
        <w:t>)</w:t>
      </w:r>
      <w:r w:rsidRPr="005D3407">
        <w:rPr>
          <w:i/>
          <w:color w:val="00B0F0"/>
        </w:rPr>
        <w:t xml:space="preserve"> </w:t>
      </w:r>
      <w:r w:rsidRPr="005D3407">
        <w:rPr>
          <w:rFonts w:cs="Times New Roman"/>
          <w:i/>
          <w:color w:val="00B0F0"/>
        </w:rPr>
        <w:t xml:space="preserve">Records of these should include dates, quantities, batch, serial </w:t>
      </w:r>
      <w:r w:rsidR="00C511DE" w:rsidRPr="005D3407">
        <w:rPr>
          <w:rFonts w:cs="Times New Roman"/>
          <w:i/>
          <w:color w:val="00B0F0"/>
        </w:rPr>
        <w:t>numbers,</w:t>
      </w:r>
      <w:r w:rsidRPr="005D3407">
        <w:rPr>
          <w:rFonts w:cs="Times New Roman"/>
          <w:i/>
          <w:color w:val="00B0F0"/>
        </w:rPr>
        <w:t xml:space="preserve"> and expiration date (if applicable).]</w:t>
      </w:r>
    </w:p>
    <w:p w14:paraId="731B2F98" w14:textId="77777777" w:rsidR="003A5B71" w:rsidRPr="00137106" w:rsidRDefault="003A5B71" w:rsidP="00FA420A">
      <w:pPr>
        <w:widowControl w:val="0"/>
        <w:autoSpaceDE w:val="0"/>
        <w:autoSpaceDN w:val="0"/>
        <w:adjustRightInd w:val="0"/>
        <w:spacing w:after="0" w:line="239" w:lineRule="auto"/>
        <w:ind w:left="360" w:right="720"/>
        <w:rPr>
          <w:rFonts w:cs="Times New Roman"/>
          <w:i/>
          <w:color w:val="00B0F0"/>
        </w:rPr>
      </w:pPr>
    </w:p>
    <w:p w14:paraId="2CD5A751" w14:textId="7133F70A" w:rsidR="001E58A4" w:rsidRPr="0026204C" w:rsidRDefault="00BD3334" w:rsidP="002100E9">
      <w:pPr>
        <w:widowControl w:val="0"/>
        <w:autoSpaceDE w:val="0"/>
        <w:autoSpaceDN w:val="0"/>
        <w:adjustRightInd w:val="0"/>
        <w:spacing w:after="0" w:line="239" w:lineRule="auto"/>
        <w:ind w:left="360" w:right="720"/>
        <w:rPr>
          <w:rFonts w:cs="Calibri"/>
          <w:b/>
        </w:rPr>
      </w:pPr>
      <w:r>
        <w:rPr>
          <w:b/>
        </w:rPr>
        <w:t xml:space="preserve">Additional </w:t>
      </w:r>
      <w:r w:rsidR="00741EAA" w:rsidRPr="00741EAA">
        <w:rPr>
          <w:b/>
        </w:rPr>
        <w:t>Procedures</w:t>
      </w:r>
      <w:r w:rsidR="002100E9">
        <w:rPr>
          <w:rFonts w:cs="Calibri"/>
        </w:rPr>
        <w:tab/>
      </w:r>
      <w:r w:rsidR="002100E9">
        <w:rPr>
          <w:rFonts w:cs="Calibri"/>
        </w:rPr>
        <w:tab/>
      </w:r>
      <w:sdt>
        <w:sdtPr>
          <w:rPr>
            <w:rFonts w:cs="Calibri"/>
            <w:b/>
          </w:rPr>
          <w:id w:val="1584957525"/>
          <w14:checkbox>
            <w14:checked w14:val="0"/>
            <w14:checkedState w14:val="2612" w14:font="MS Gothic"/>
            <w14:uncheckedState w14:val="2610" w14:font="MS Gothic"/>
          </w14:checkbox>
        </w:sdtPr>
        <w:sdtEndPr/>
        <w:sdtContent>
          <w:r w:rsidR="002100E9" w:rsidRPr="0026204C">
            <w:rPr>
              <w:rFonts w:ascii="MS Gothic" w:eastAsia="MS Gothic" w:hAnsi="MS Gothic" w:cs="Calibri" w:hint="eastAsia"/>
              <w:b/>
            </w:rPr>
            <w:t>☐</w:t>
          </w:r>
        </w:sdtContent>
      </w:sdt>
      <w:r w:rsidR="002100E9" w:rsidRPr="0026204C">
        <w:rPr>
          <w:rFonts w:cs="Calibri"/>
          <w:b/>
        </w:rPr>
        <w:t xml:space="preserve"> N/A</w:t>
      </w:r>
      <w:r w:rsidR="007D6DBA">
        <w:rPr>
          <w:rFonts w:cs="Calibri"/>
          <w:b/>
        </w:rPr>
        <w:t xml:space="preserve"> </w:t>
      </w:r>
    </w:p>
    <w:p w14:paraId="55BB2636" w14:textId="77777777" w:rsidR="00741EAA" w:rsidRPr="002B7891" w:rsidRDefault="00741EAA" w:rsidP="001E58A4">
      <w:pPr>
        <w:widowControl w:val="0"/>
        <w:autoSpaceDE w:val="0"/>
        <w:autoSpaceDN w:val="0"/>
        <w:adjustRightInd w:val="0"/>
        <w:spacing w:after="0" w:line="239" w:lineRule="auto"/>
        <w:ind w:left="360" w:right="720"/>
      </w:pPr>
    </w:p>
    <w:p w14:paraId="07B5D94F" w14:textId="61DC8D56" w:rsidR="00741EAA" w:rsidRPr="00B068E2" w:rsidRDefault="00741EAA" w:rsidP="001E58A4">
      <w:pPr>
        <w:widowControl w:val="0"/>
        <w:autoSpaceDE w:val="0"/>
        <w:autoSpaceDN w:val="0"/>
        <w:adjustRightInd w:val="0"/>
        <w:spacing w:after="0" w:line="239" w:lineRule="auto"/>
        <w:ind w:left="360" w:right="720"/>
        <w:rPr>
          <w:b/>
          <w:i/>
        </w:rPr>
      </w:pPr>
      <w:r w:rsidRPr="00B068E2">
        <w:rPr>
          <w:i/>
          <w:color w:val="00B0F0"/>
        </w:rPr>
        <w:t>[</w:t>
      </w:r>
      <w:r w:rsidR="001749F0">
        <w:rPr>
          <w:i/>
          <w:color w:val="00B0F0"/>
        </w:rPr>
        <w:t>Optional: Insert</w:t>
      </w:r>
      <w:r w:rsidR="00837514">
        <w:rPr>
          <w:i/>
          <w:color w:val="00B0F0"/>
        </w:rPr>
        <w:t xml:space="preserve"> any additional relevant</w:t>
      </w:r>
      <w:r w:rsidR="001276E7">
        <w:rPr>
          <w:i/>
          <w:color w:val="00B0F0"/>
        </w:rPr>
        <w:t xml:space="preserve"> procedures. Provide enough detail to ensure the procedure is consistently carried out, without providing so much detail that violations occur due to normal or expected variations in the work.</w:t>
      </w:r>
      <w:r w:rsidRPr="00B068E2">
        <w:rPr>
          <w:i/>
          <w:color w:val="00B0F0"/>
        </w:rPr>
        <w:t>]</w:t>
      </w:r>
    </w:p>
    <w:p w14:paraId="16D455F4" w14:textId="77777777" w:rsidR="00D41BC6" w:rsidRDefault="00D41BC6" w:rsidP="00C06A2B">
      <w:pPr>
        <w:spacing w:after="0" w:line="240" w:lineRule="auto"/>
        <w:ind w:right="720"/>
        <w:rPr>
          <w:b/>
        </w:rPr>
      </w:pPr>
    </w:p>
    <w:p w14:paraId="326A903D" w14:textId="7EF73B1A" w:rsidR="00CD12A1" w:rsidRPr="00F63389" w:rsidRDefault="00695A12" w:rsidP="00F63389">
      <w:pPr>
        <w:pStyle w:val="ListParagraph"/>
        <w:widowControl w:val="0"/>
        <w:numPr>
          <w:ilvl w:val="0"/>
          <w:numId w:val="1"/>
        </w:numPr>
        <w:autoSpaceDE w:val="0"/>
        <w:autoSpaceDN w:val="0"/>
        <w:adjustRightInd w:val="0"/>
        <w:spacing w:after="0" w:line="240" w:lineRule="auto"/>
        <w:ind w:right="720"/>
        <w:rPr>
          <w:rFonts w:cs="Calibri"/>
          <w:b/>
        </w:rPr>
      </w:pPr>
      <w:r w:rsidRPr="007B111D">
        <w:rPr>
          <w:b/>
        </w:rPr>
        <w:t>REFERENCES</w:t>
      </w:r>
    </w:p>
    <w:p w14:paraId="6D3E56E7" w14:textId="77777777" w:rsidR="005F3B39" w:rsidRDefault="005F3B39" w:rsidP="005F3B39">
      <w:pPr>
        <w:spacing w:after="0" w:line="240" w:lineRule="auto"/>
        <w:ind w:left="360"/>
        <w:rPr>
          <w:rFonts w:eastAsia="Times New Roman" w:cs="Arial"/>
        </w:rPr>
      </w:pPr>
    </w:p>
    <w:p w14:paraId="57488CC6" w14:textId="414E3F33" w:rsidR="00D01D97" w:rsidRPr="00DA0206" w:rsidRDefault="00D01D97" w:rsidP="005F3B39">
      <w:pPr>
        <w:spacing w:after="0" w:line="240" w:lineRule="auto"/>
        <w:ind w:left="360"/>
        <w:rPr>
          <w:rFonts w:eastAsia="Times New Roman" w:cs="Arial"/>
        </w:rPr>
      </w:pPr>
      <w:r w:rsidRPr="0008526E">
        <w:rPr>
          <w:rFonts w:eastAsia="Times New Roman" w:cs="Arial"/>
        </w:rPr>
        <w:t xml:space="preserve">FDA </w:t>
      </w:r>
      <w:hyperlink r:id="rId14" w:tgtFrame="_blank" w:history="1">
        <w:r w:rsidRPr="0008526E">
          <w:rPr>
            <w:rFonts w:eastAsia="Times New Roman" w:cs="Arial"/>
            <w:bCs/>
          </w:rPr>
          <w:t>Title 21 CFR 312.</w:t>
        </w:r>
        <w:r>
          <w:rPr>
            <w:rFonts w:eastAsia="Times New Roman" w:cs="Arial"/>
            <w:bCs/>
          </w:rPr>
          <w:t>6</w:t>
        </w:r>
        <w:r w:rsidRPr="0008526E">
          <w:rPr>
            <w:rFonts w:eastAsia="Times New Roman" w:cs="Arial"/>
            <w:bCs/>
          </w:rPr>
          <w:t xml:space="preserve"> </w:t>
        </w:r>
        <w:r>
          <w:rPr>
            <w:rFonts w:eastAsia="Times New Roman" w:cs="Arial"/>
            <w:bCs/>
          </w:rPr>
          <w:t>-</w:t>
        </w:r>
        <w:r w:rsidRPr="0008526E">
          <w:rPr>
            <w:rFonts w:eastAsia="Times New Roman" w:cs="Arial"/>
            <w:bCs/>
          </w:rPr>
          <w:t xml:space="preserve"> </w:t>
        </w:r>
        <w:r>
          <w:rPr>
            <w:rFonts w:eastAsia="Times New Roman" w:cs="Arial"/>
            <w:bCs/>
          </w:rPr>
          <w:t>Labeling</w:t>
        </w:r>
      </w:hyperlink>
      <w:r>
        <w:rPr>
          <w:rFonts w:eastAsia="Times New Roman" w:cs="Arial"/>
          <w:bCs/>
        </w:rPr>
        <w:t xml:space="preserve"> of an investigational new drug</w:t>
      </w:r>
      <w:r>
        <w:rPr>
          <w:rFonts w:eastAsia="Times New Roman" w:cs="Arial"/>
        </w:rPr>
        <w:t>:</w:t>
      </w:r>
    </w:p>
    <w:p w14:paraId="63CD00C9" w14:textId="74E27F9A" w:rsidR="000C70B4" w:rsidRDefault="00353FCE" w:rsidP="000C70B4">
      <w:pPr>
        <w:spacing w:after="0" w:line="240" w:lineRule="auto"/>
        <w:ind w:left="360"/>
        <w:rPr>
          <w:rFonts w:eastAsia="Times New Roman" w:cs="Arial"/>
        </w:rPr>
      </w:pPr>
      <w:hyperlink r:id="rId15" w:history="1">
        <w:r w:rsidR="00D01D97" w:rsidRPr="00D01D97">
          <w:rPr>
            <w:rStyle w:val="Hyperlink"/>
            <w:rFonts w:eastAsia="Times New Roman" w:cs="Arial"/>
          </w:rPr>
          <w:t>http://www.ecfr.gov/cgi-bin/text-idx?SID=16349f1e2bfb166ffd2aa2932b8262d8&amp;mc=true&amp;node=se21.5.312_16&amp;rgn=div8</w:t>
        </w:r>
      </w:hyperlink>
    </w:p>
    <w:p w14:paraId="5442136C" w14:textId="0489E870" w:rsidR="000C70B4" w:rsidRDefault="000C70B4" w:rsidP="000C70B4">
      <w:pPr>
        <w:spacing w:after="0" w:line="240" w:lineRule="auto"/>
        <w:ind w:left="360"/>
        <w:rPr>
          <w:rFonts w:eastAsia="Times New Roman" w:cs="Arial"/>
        </w:rPr>
      </w:pPr>
    </w:p>
    <w:p w14:paraId="253E9B36" w14:textId="7F94062E" w:rsidR="00D01D97" w:rsidRPr="00DA0206" w:rsidRDefault="00D01D97" w:rsidP="00D01D97">
      <w:pPr>
        <w:spacing w:after="0" w:line="240" w:lineRule="auto"/>
        <w:ind w:left="360"/>
        <w:rPr>
          <w:rFonts w:eastAsia="Times New Roman" w:cs="Arial"/>
        </w:rPr>
      </w:pPr>
      <w:r w:rsidRPr="0008526E">
        <w:rPr>
          <w:rFonts w:eastAsia="Times New Roman" w:cs="Arial"/>
        </w:rPr>
        <w:t xml:space="preserve">FDA </w:t>
      </w:r>
      <w:r w:rsidRPr="0008526E">
        <w:rPr>
          <w:rFonts w:eastAsia="Times New Roman" w:cs="Arial"/>
          <w:bCs/>
        </w:rPr>
        <w:t>Title 21 CFR 312.</w:t>
      </w:r>
      <w:r>
        <w:rPr>
          <w:rFonts w:eastAsia="Times New Roman" w:cs="Arial"/>
          <w:bCs/>
        </w:rPr>
        <w:t>7</w:t>
      </w:r>
      <w:r w:rsidRPr="0008526E">
        <w:rPr>
          <w:rFonts w:eastAsia="Times New Roman" w:cs="Arial"/>
          <w:bCs/>
        </w:rPr>
        <w:t xml:space="preserve"> </w:t>
      </w:r>
      <w:r>
        <w:rPr>
          <w:rFonts w:eastAsia="Times New Roman" w:cs="Arial"/>
          <w:bCs/>
        </w:rPr>
        <w:t>-</w:t>
      </w:r>
      <w:r w:rsidRPr="0008526E">
        <w:rPr>
          <w:rFonts w:eastAsia="Times New Roman" w:cs="Arial"/>
          <w:bCs/>
        </w:rPr>
        <w:t xml:space="preserve"> </w:t>
      </w:r>
      <w:r>
        <w:rPr>
          <w:rFonts w:eastAsia="Times New Roman" w:cs="Arial"/>
          <w:bCs/>
        </w:rPr>
        <w:t>Promotion of investigational drugs</w:t>
      </w:r>
      <w:r>
        <w:rPr>
          <w:rFonts w:eastAsia="Times New Roman" w:cs="Arial"/>
        </w:rPr>
        <w:t>:</w:t>
      </w:r>
    </w:p>
    <w:p w14:paraId="4AA41D6C" w14:textId="73B304A3" w:rsidR="000C70B4" w:rsidRDefault="00353FCE" w:rsidP="000C70B4">
      <w:pPr>
        <w:spacing w:after="0" w:line="240" w:lineRule="auto"/>
        <w:ind w:left="360"/>
        <w:rPr>
          <w:rFonts w:eastAsia="Times New Roman" w:cs="Arial"/>
        </w:rPr>
      </w:pPr>
      <w:hyperlink r:id="rId16" w:anchor="se21.5.312_17" w:history="1">
        <w:r w:rsidR="00D01D97" w:rsidRPr="00D01D97">
          <w:rPr>
            <w:rStyle w:val="Hyperlink"/>
            <w:rFonts w:eastAsia="Times New Roman" w:cs="Arial"/>
          </w:rPr>
          <w:t>http://www.ecfr.gov/cgi-bin/retrieveECFR?gp=&amp;SID=16349f1e2bfb166ffd2aa2932b8262d8&amp;mc=true&amp;n=sp21.5.312.a&amp;r=SUBPART&amp;ty=HTML#se21.5.312_17</w:t>
        </w:r>
      </w:hyperlink>
    </w:p>
    <w:p w14:paraId="513EFFE5" w14:textId="77777777" w:rsidR="00D01D97" w:rsidRDefault="00D01D97" w:rsidP="000C70B4">
      <w:pPr>
        <w:spacing w:after="0" w:line="240" w:lineRule="auto"/>
        <w:ind w:left="360"/>
        <w:rPr>
          <w:rFonts w:eastAsia="Times New Roman" w:cs="Arial"/>
        </w:rPr>
      </w:pPr>
    </w:p>
    <w:p w14:paraId="329159CE" w14:textId="06B425DB" w:rsidR="00D331FF" w:rsidRDefault="00D331FF" w:rsidP="000C70B4">
      <w:pPr>
        <w:spacing w:after="0" w:line="240" w:lineRule="auto"/>
        <w:ind w:left="360"/>
        <w:rPr>
          <w:rFonts w:eastAsia="Times New Roman" w:cs="Arial"/>
        </w:rPr>
      </w:pPr>
      <w:r w:rsidRPr="0008526E">
        <w:rPr>
          <w:rFonts w:eastAsia="Times New Roman" w:cs="Arial"/>
        </w:rPr>
        <w:t xml:space="preserve">FDA </w:t>
      </w:r>
      <w:r w:rsidRPr="0008526E">
        <w:rPr>
          <w:rFonts w:eastAsia="Times New Roman" w:cs="Arial"/>
          <w:bCs/>
        </w:rPr>
        <w:t>Title 21 CFR 312.</w:t>
      </w:r>
      <w:r>
        <w:rPr>
          <w:rFonts w:eastAsia="Times New Roman" w:cs="Arial"/>
          <w:bCs/>
        </w:rPr>
        <w:t>8</w:t>
      </w:r>
      <w:r w:rsidRPr="00D331FF">
        <w:rPr>
          <w:rFonts w:eastAsia="Times New Roman" w:cs="Arial"/>
          <w:bCs/>
        </w:rPr>
        <w:t xml:space="preserve"> - Charging for investigational drugs under an IND</w:t>
      </w:r>
      <w:r>
        <w:rPr>
          <w:rFonts w:eastAsia="Times New Roman" w:cs="Arial"/>
        </w:rPr>
        <w:t>:</w:t>
      </w:r>
    </w:p>
    <w:p w14:paraId="237E4ADD" w14:textId="487239D2" w:rsidR="00D331FF" w:rsidRDefault="00353FCE" w:rsidP="000C70B4">
      <w:pPr>
        <w:spacing w:after="0" w:line="240" w:lineRule="auto"/>
        <w:ind w:left="360"/>
        <w:rPr>
          <w:rFonts w:eastAsia="Times New Roman" w:cs="Arial"/>
        </w:rPr>
      </w:pPr>
      <w:hyperlink r:id="rId17" w:anchor="se21.5.312_18" w:history="1">
        <w:r w:rsidR="00D331FF" w:rsidRPr="00D331FF">
          <w:rPr>
            <w:rStyle w:val="Hyperlink"/>
            <w:rFonts w:eastAsia="Times New Roman" w:cs="Arial"/>
          </w:rPr>
          <w:t>http://www.ecfr.gov/cgi-bin/retrieveECFR?gp=&amp;SID=16349f1e2bfb166ffd2aa2932b8262d8&amp;mc=true&amp;n=sp21.5.312.a&amp;r=SUBPART&amp;ty=HTML#se21.5.312_18</w:t>
        </w:r>
      </w:hyperlink>
    </w:p>
    <w:p w14:paraId="38F913C8" w14:textId="77777777" w:rsidR="00D331FF" w:rsidRDefault="00D331FF" w:rsidP="000C70B4">
      <w:pPr>
        <w:spacing w:after="0" w:line="240" w:lineRule="auto"/>
        <w:ind w:left="360"/>
        <w:rPr>
          <w:rFonts w:eastAsia="Times New Roman" w:cs="Arial"/>
        </w:rPr>
      </w:pPr>
    </w:p>
    <w:p w14:paraId="4678A437" w14:textId="48F460F2" w:rsidR="00D331FF" w:rsidRDefault="00D331FF" w:rsidP="000C70B4">
      <w:pPr>
        <w:spacing w:after="0" w:line="240" w:lineRule="auto"/>
        <w:ind w:left="360"/>
        <w:rPr>
          <w:rFonts w:eastAsia="Times New Roman" w:cs="Arial"/>
        </w:rPr>
      </w:pPr>
      <w:r w:rsidRPr="0008526E">
        <w:rPr>
          <w:rFonts w:eastAsia="Times New Roman" w:cs="Arial"/>
        </w:rPr>
        <w:t xml:space="preserve">FDA </w:t>
      </w:r>
      <w:r w:rsidRPr="0008526E">
        <w:rPr>
          <w:rFonts w:eastAsia="Times New Roman" w:cs="Arial"/>
          <w:bCs/>
        </w:rPr>
        <w:t>Title 21 CFR 312.</w:t>
      </w:r>
      <w:r>
        <w:rPr>
          <w:rFonts w:eastAsia="Times New Roman" w:cs="Arial"/>
          <w:bCs/>
        </w:rPr>
        <w:t xml:space="preserve">50 - </w:t>
      </w:r>
      <w:r w:rsidRPr="00D331FF">
        <w:rPr>
          <w:rFonts w:eastAsia="Times New Roman" w:cs="Arial"/>
          <w:bCs/>
        </w:rPr>
        <w:t>General responsibilities of sponsors</w:t>
      </w:r>
      <w:r>
        <w:rPr>
          <w:rFonts w:eastAsia="Times New Roman" w:cs="Arial"/>
          <w:bCs/>
        </w:rPr>
        <w:t>:</w:t>
      </w:r>
    </w:p>
    <w:p w14:paraId="3F0AC046" w14:textId="4B80FBA1" w:rsidR="00D331FF" w:rsidRDefault="00353FCE" w:rsidP="000C70B4">
      <w:pPr>
        <w:spacing w:after="0" w:line="240" w:lineRule="auto"/>
        <w:ind w:left="360"/>
        <w:rPr>
          <w:rFonts w:eastAsia="Times New Roman" w:cs="Arial"/>
        </w:rPr>
      </w:pPr>
      <w:hyperlink r:id="rId18" w:anchor="se21.5.312_150" w:history="1">
        <w:r w:rsidR="00D331FF" w:rsidRPr="00D331FF">
          <w:rPr>
            <w:rStyle w:val="Hyperlink"/>
            <w:rFonts w:eastAsia="Times New Roman" w:cs="Arial"/>
          </w:rPr>
          <w:t>http://www.ecfr.gov/cgi-bin/retrieveECFR?gp=&amp;SID=16349f1e2bfb166ffd2aa2932b8262d8&amp;mc=true&amp;n=pt21.5.312&amp;r=PART&amp;ty=HTML#se21.5.312_150</w:t>
        </w:r>
      </w:hyperlink>
    </w:p>
    <w:p w14:paraId="2E422056" w14:textId="77777777" w:rsidR="00D331FF" w:rsidRDefault="00D331FF" w:rsidP="000C70B4">
      <w:pPr>
        <w:spacing w:after="0" w:line="240" w:lineRule="auto"/>
        <w:ind w:left="360"/>
        <w:rPr>
          <w:rFonts w:eastAsia="Times New Roman" w:cs="Arial"/>
        </w:rPr>
      </w:pPr>
    </w:p>
    <w:p w14:paraId="51BC681C" w14:textId="28C73EEA" w:rsidR="00D331FF" w:rsidRDefault="00D331FF" w:rsidP="00D331FF">
      <w:pPr>
        <w:spacing w:after="0" w:line="240" w:lineRule="auto"/>
        <w:ind w:left="360"/>
        <w:rPr>
          <w:rFonts w:eastAsia="Times New Roman" w:cs="Arial"/>
        </w:rPr>
      </w:pPr>
      <w:r w:rsidRPr="0008526E">
        <w:rPr>
          <w:rFonts w:eastAsia="Times New Roman" w:cs="Arial"/>
        </w:rPr>
        <w:t xml:space="preserve">FDA </w:t>
      </w:r>
      <w:r w:rsidRPr="0008526E">
        <w:rPr>
          <w:rFonts w:eastAsia="Times New Roman" w:cs="Arial"/>
          <w:bCs/>
        </w:rPr>
        <w:t>Title 21 CFR 312.</w:t>
      </w:r>
      <w:r>
        <w:rPr>
          <w:rFonts w:eastAsia="Times New Roman" w:cs="Arial"/>
          <w:bCs/>
        </w:rPr>
        <w:t xml:space="preserve">53 - </w:t>
      </w:r>
      <w:r w:rsidRPr="00D331FF">
        <w:rPr>
          <w:rFonts w:eastAsia="Times New Roman" w:cs="Arial"/>
          <w:bCs/>
        </w:rPr>
        <w:t>Selecting investigators and monitors</w:t>
      </w:r>
      <w:r>
        <w:rPr>
          <w:rFonts w:eastAsia="Times New Roman" w:cs="Arial"/>
          <w:bCs/>
        </w:rPr>
        <w:t>:</w:t>
      </w:r>
    </w:p>
    <w:p w14:paraId="1EA597C7" w14:textId="0C9CC728" w:rsidR="00D331FF" w:rsidRDefault="00353FCE" w:rsidP="000C70B4">
      <w:pPr>
        <w:spacing w:after="0" w:line="240" w:lineRule="auto"/>
        <w:ind w:left="360"/>
        <w:rPr>
          <w:rFonts w:eastAsia="Times New Roman" w:cs="Arial"/>
        </w:rPr>
      </w:pPr>
      <w:hyperlink r:id="rId19" w:anchor="se21.5.312_153" w:history="1">
        <w:r w:rsidR="00D331FF" w:rsidRPr="00D331FF">
          <w:rPr>
            <w:rStyle w:val="Hyperlink"/>
            <w:rFonts w:eastAsia="Times New Roman" w:cs="Arial"/>
          </w:rPr>
          <w:t>http://www.ecfr.gov/cgi-bin/retrieveECFR?gp=&amp;SID=16349f1e2bfb166ffd2aa2932b8262d8&amp;mc=true&amp;n=pt21.5.312&amp;r=PART&amp;ty=HTML#se21.5.312_153</w:t>
        </w:r>
      </w:hyperlink>
    </w:p>
    <w:p w14:paraId="4BAC2F55" w14:textId="77777777" w:rsidR="00D331FF" w:rsidRDefault="00D331FF" w:rsidP="000C70B4">
      <w:pPr>
        <w:spacing w:after="0" w:line="240" w:lineRule="auto"/>
        <w:ind w:left="360"/>
        <w:rPr>
          <w:rFonts w:eastAsia="Times New Roman" w:cs="Arial"/>
        </w:rPr>
      </w:pPr>
    </w:p>
    <w:p w14:paraId="4914BCE3" w14:textId="63BFE85D" w:rsidR="0090065E" w:rsidRDefault="005D3407" w:rsidP="000C70B4">
      <w:pPr>
        <w:spacing w:after="0" w:line="240" w:lineRule="auto"/>
        <w:ind w:left="360"/>
        <w:rPr>
          <w:rFonts w:eastAsia="Times New Roman" w:cs="Arial"/>
        </w:rPr>
      </w:pPr>
      <w:r w:rsidRPr="0008526E">
        <w:rPr>
          <w:rFonts w:eastAsia="Times New Roman" w:cs="Arial"/>
        </w:rPr>
        <w:t xml:space="preserve">FDA </w:t>
      </w:r>
      <w:hyperlink r:id="rId20" w:tgtFrame="_blank" w:history="1">
        <w:r w:rsidRPr="0008526E">
          <w:rPr>
            <w:rFonts w:eastAsia="Times New Roman" w:cs="Arial"/>
            <w:bCs/>
          </w:rPr>
          <w:t>Title 21 CFR 312.57 - Recordkeeping and record retention</w:t>
        </w:r>
      </w:hyperlink>
      <w:r>
        <w:rPr>
          <w:rFonts w:eastAsia="Times New Roman" w:cs="Arial"/>
        </w:rPr>
        <w:t xml:space="preserve">: </w:t>
      </w:r>
    </w:p>
    <w:p w14:paraId="3CC4355F" w14:textId="79B23A63" w:rsidR="0090065E" w:rsidRDefault="00353FCE" w:rsidP="005F3B39">
      <w:pPr>
        <w:spacing w:after="0" w:line="240" w:lineRule="auto"/>
        <w:ind w:left="360"/>
        <w:rPr>
          <w:rFonts w:eastAsia="Times New Roman" w:cs="Arial"/>
        </w:rPr>
      </w:pPr>
      <w:hyperlink r:id="rId21" w:history="1">
        <w:r w:rsidR="0090065E" w:rsidRPr="00200CEE">
          <w:rPr>
            <w:rStyle w:val="Hyperlink"/>
            <w:rFonts w:eastAsia="Times New Roman" w:cs="Arial"/>
          </w:rPr>
          <w:t>http://www.ecfr.gov/cgi-bin/text-idx?SID=0095923a55b9a25c4ae656e596e0c6ad&amp;mc=true&amp;node=se21.5.312_157&amp;rgn=div8</w:t>
        </w:r>
      </w:hyperlink>
    </w:p>
    <w:p w14:paraId="3AAAAECE" w14:textId="77777777" w:rsidR="0090065E" w:rsidRDefault="0090065E" w:rsidP="005F3B39">
      <w:pPr>
        <w:spacing w:after="0" w:line="240" w:lineRule="auto"/>
        <w:ind w:left="360"/>
        <w:rPr>
          <w:rFonts w:eastAsia="Times New Roman" w:cs="Arial"/>
        </w:rPr>
      </w:pPr>
    </w:p>
    <w:p w14:paraId="4116B87F" w14:textId="31466B64" w:rsidR="0008526E" w:rsidRDefault="0008526E" w:rsidP="005F3B39">
      <w:pPr>
        <w:spacing w:after="0" w:line="240" w:lineRule="auto"/>
        <w:ind w:left="360"/>
        <w:rPr>
          <w:rStyle w:val="Hyperlink"/>
          <w:rFonts w:eastAsia="Times New Roman" w:cs="Arial"/>
        </w:rPr>
      </w:pPr>
      <w:r w:rsidRPr="0008526E">
        <w:rPr>
          <w:rFonts w:eastAsia="Times New Roman" w:cs="Arial"/>
        </w:rPr>
        <w:t xml:space="preserve">FDA </w:t>
      </w:r>
      <w:hyperlink r:id="rId22" w:tgtFrame="_blank" w:history="1">
        <w:r w:rsidRPr="0008526E">
          <w:rPr>
            <w:rFonts w:eastAsia="Times New Roman" w:cs="Arial"/>
            <w:bCs/>
          </w:rPr>
          <w:t>Title 21 CFR 312.59 - Disposition of unused supply of investigational drug</w:t>
        </w:r>
      </w:hyperlink>
      <w:r w:rsidR="00B636FD">
        <w:rPr>
          <w:rFonts w:eastAsia="Times New Roman" w:cs="Arial"/>
        </w:rPr>
        <w:t>:</w:t>
      </w:r>
      <w:r>
        <w:rPr>
          <w:rFonts w:eastAsia="Times New Roman" w:cs="Arial"/>
        </w:rPr>
        <w:t xml:space="preserve"> </w:t>
      </w:r>
    </w:p>
    <w:p w14:paraId="75929B2A" w14:textId="33C7541B" w:rsidR="00D331FF" w:rsidRDefault="00353FCE" w:rsidP="005F3B39">
      <w:pPr>
        <w:spacing w:after="0" w:line="240" w:lineRule="auto"/>
        <w:ind w:left="360"/>
        <w:rPr>
          <w:rFonts w:eastAsia="Times New Roman" w:cs="Arial"/>
        </w:rPr>
      </w:pPr>
      <w:hyperlink r:id="rId23" w:anchor="se21.5.312_159" w:history="1">
        <w:r w:rsidR="00D331FF" w:rsidRPr="00D331FF">
          <w:rPr>
            <w:rStyle w:val="Hyperlink"/>
            <w:rFonts w:eastAsia="Times New Roman" w:cs="Arial"/>
          </w:rPr>
          <w:t>http://www.ecfr.gov/cgi-bin/retrieveECFR?gp=&amp;SID=22498ff22b4c67a9d8f3a0ee60c3a58d&amp;mc=true&amp;n=pt21.5.312&amp;r=PART&amp;ty=HTML#se21.5.312_159</w:t>
        </w:r>
      </w:hyperlink>
    </w:p>
    <w:p w14:paraId="3526A8A0" w14:textId="77777777" w:rsidR="00D331FF" w:rsidRDefault="00D331FF" w:rsidP="005F3B39">
      <w:pPr>
        <w:spacing w:after="0" w:line="240" w:lineRule="auto"/>
        <w:ind w:left="360"/>
        <w:rPr>
          <w:rFonts w:eastAsia="Times New Roman" w:cs="Arial"/>
        </w:rPr>
      </w:pPr>
    </w:p>
    <w:p w14:paraId="00F263E2" w14:textId="45AA83C5" w:rsidR="00D331FF" w:rsidRDefault="00D331FF" w:rsidP="005F3B39">
      <w:pPr>
        <w:spacing w:after="0" w:line="240" w:lineRule="auto"/>
        <w:ind w:left="360"/>
        <w:rPr>
          <w:rFonts w:eastAsia="Times New Roman" w:cs="Arial"/>
          <w:bCs/>
        </w:rPr>
      </w:pPr>
      <w:r w:rsidRPr="0008526E">
        <w:rPr>
          <w:rFonts w:eastAsia="Times New Roman" w:cs="Arial"/>
        </w:rPr>
        <w:t xml:space="preserve">FDA </w:t>
      </w:r>
      <w:hyperlink r:id="rId24" w:tgtFrame="_blank" w:history="1">
        <w:r>
          <w:rPr>
            <w:rFonts w:eastAsia="Times New Roman" w:cs="Arial"/>
            <w:bCs/>
          </w:rPr>
          <w:t>Title 21 CFR 312.60</w:t>
        </w:r>
        <w:r w:rsidRPr="0008526E">
          <w:rPr>
            <w:rFonts w:eastAsia="Times New Roman" w:cs="Arial"/>
            <w:bCs/>
          </w:rPr>
          <w:t xml:space="preserve"> </w:t>
        </w:r>
        <w:r w:rsidR="00571167">
          <w:rPr>
            <w:rFonts w:eastAsia="Times New Roman" w:cs="Arial"/>
            <w:bCs/>
          </w:rPr>
          <w:t>–</w:t>
        </w:r>
        <w:r w:rsidRPr="0008526E">
          <w:rPr>
            <w:rFonts w:eastAsia="Times New Roman" w:cs="Arial"/>
            <w:bCs/>
          </w:rPr>
          <w:t xml:space="preserve"> </w:t>
        </w:r>
      </w:hyperlink>
      <w:r w:rsidR="00571167">
        <w:rPr>
          <w:rFonts w:eastAsia="Times New Roman" w:cs="Arial"/>
          <w:bCs/>
        </w:rPr>
        <w:t>General responsibilities of investigators:</w:t>
      </w:r>
    </w:p>
    <w:p w14:paraId="7F662AA4" w14:textId="0FE9B190" w:rsidR="00571167" w:rsidRDefault="00353FCE" w:rsidP="005F3B39">
      <w:pPr>
        <w:spacing w:after="0" w:line="240" w:lineRule="auto"/>
        <w:ind w:left="360"/>
        <w:rPr>
          <w:rFonts w:eastAsia="Times New Roman" w:cs="Arial"/>
          <w:bCs/>
        </w:rPr>
      </w:pPr>
      <w:hyperlink r:id="rId25" w:anchor="se21.5.312_160" w:history="1">
        <w:r w:rsidR="00A474A5" w:rsidRPr="00A474A5">
          <w:rPr>
            <w:rStyle w:val="Hyperlink"/>
            <w:rFonts w:eastAsia="Times New Roman" w:cs="Arial"/>
            <w:bCs/>
          </w:rPr>
          <w:t>http://www.ecfr.gov/cgi-bin/retrieveECFR?gp=&amp;SID=22498ff22b4c67a9d8f3a0ee60c3a58d&amp;mc=true&amp;n=pt21.5.312&amp;r=PART&amp;ty=HTML#se21.5.312_160</w:t>
        </w:r>
      </w:hyperlink>
    </w:p>
    <w:p w14:paraId="53B4443C" w14:textId="77777777" w:rsidR="00571167" w:rsidRDefault="00571167" w:rsidP="005F3B39">
      <w:pPr>
        <w:spacing w:after="0" w:line="240" w:lineRule="auto"/>
        <w:ind w:left="360"/>
        <w:rPr>
          <w:rFonts w:eastAsia="Times New Roman" w:cs="Arial"/>
        </w:rPr>
      </w:pPr>
    </w:p>
    <w:p w14:paraId="64DC4E35" w14:textId="0E96256A" w:rsidR="005D3407" w:rsidRDefault="005D3407" w:rsidP="005D3407">
      <w:pPr>
        <w:spacing w:after="0" w:line="240" w:lineRule="auto"/>
        <w:ind w:left="360"/>
        <w:rPr>
          <w:rStyle w:val="Hyperlink"/>
          <w:rFonts w:ascii="Arial" w:eastAsia="Times New Roman" w:hAnsi="Arial" w:cs="Arial"/>
          <w:sz w:val="20"/>
          <w:szCs w:val="20"/>
        </w:rPr>
      </w:pPr>
      <w:r w:rsidRPr="0008526E">
        <w:rPr>
          <w:rFonts w:eastAsia="Times New Roman" w:cs="Arial"/>
        </w:rPr>
        <w:t xml:space="preserve">FDA </w:t>
      </w:r>
      <w:hyperlink r:id="rId26" w:tgtFrame="_blank" w:history="1">
        <w:r w:rsidRPr="0008526E">
          <w:rPr>
            <w:rFonts w:eastAsia="Times New Roman" w:cs="Arial"/>
            <w:bCs/>
          </w:rPr>
          <w:t>Title 21 CFR 312.61 - Control of the investigational drug</w:t>
        </w:r>
      </w:hyperlink>
      <w:r>
        <w:rPr>
          <w:rFonts w:eastAsia="Times New Roman" w:cs="Arial"/>
        </w:rPr>
        <w:t xml:space="preserve">: </w:t>
      </w:r>
    </w:p>
    <w:p w14:paraId="11D9A003" w14:textId="7FCAA644" w:rsidR="005D3407" w:rsidRDefault="00353FCE" w:rsidP="005F3B39">
      <w:pPr>
        <w:spacing w:after="0" w:line="240" w:lineRule="auto"/>
        <w:ind w:left="360"/>
        <w:rPr>
          <w:rFonts w:eastAsia="Times New Roman" w:cs="Arial"/>
        </w:rPr>
      </w:pPr>
      <w:hyperlink r:id="rId27" w:anchor="se21.5.312_161" w:history="1">
        <w:r w:rsidR="00A474A5" w:rsidRPr="00A474A5">
          <w:rPr>
            <w:rStyle w:val="Hyperlink"/>
            <w:rFonts w:eastAsia="Times New Roman" w:cs="Arial"/>
          </w:rPr>
          <w:t>http://www.ecfr.gov/cgi-bin/retrieveECFR?gp=&amp;SID=22498ff22b4c67a9d8f3a0ee60c3a58d&amp;mc=true&amp;n=pt21.5.312&amp;r=PART&amp;ty=HTML#se21.5.312_161</w:t>
        </w:r>
      </w:hyperlink>
    </w:p>
    <w:p w14:paraId="1C5986DA" w14:textId="77777777" w:rsidR="00A474A5" w:rsidRPr="0008526E" w:rsidRDefault="00A474A5" w:rsidP="005F3B39">
      <w:pPr>
        <w:spacing w:after="0" w:line="240" w:lineRule="auto"/>
        <w:ind w:left="360"/>
        <w:rPr>
          <w:rFonts w:eastAsia="Times New Roman" w:cs="Arial"/>
        </w:rPr>
      </w:pPr>
    </w:p>
    <w:p w14:paraId="0AB32359" w14:textId="77038870" w:rsidR="005D3407" w:rsidRDefault="005D3407" w:rsidP="005D3407">
      <w:pPr>
        <w:spacing w:after="0" w:line="240" w:lineRule="auto"/>
        <w:ind w:left="360"/>
        <w:rPr>
          <w:rStyle w:val="Hyperlink"/>
          <w:rFonts w:eastAsia="Times New Roman" w:cs="Arial"/>
        </w:rPr>
      </w:pPr>
      <w:r w:rsidRPr="0008526E">
        <w:rPr>
          <w:rFonts w:eastAsia="Times New Roman" w:cs="Arial"/>
        </w:rPr>
        <w:t xml:space="preserve">FDA </w:t>
      </w:r>
      <w:hyperlink r:id="rId28" w:tgtFrame="_blank" w:history="1">
        <w:r w:rsidRPr="0008526E">
          <w:rPr>
            <w:rFonts w:eastAsia="Times New Roman" w:cs="Arial"/>
            <w:bCs/>
          </w:rPr>
          <w:t>Title 21 CFR 312.62 - Investigator recordkeeping and record retention</w:t>
        </w:r>
      </w:hyperlink>
      <w:r>
        <w:rPr>
          <w:rFonts w:eastAsia="Times New Roman" w:cs="Arial"/>
        </w:rPr>
        <w:t xml:space="preserve">: </w:t>
      </w:r>
    </w:p>
    <w:p w14:paraId="155FB592" w14:textId="296A4018" w:rsidR="005D3407" w:rsidRDefault="00353FCE" w:rsidP="005F3B39">
      <w:pPr>
        <w:spacing w:after="0" w:line="240" w:lineRule="auto"/>
        <w:ind w:left="360"/>
        <w:rPr>
          <w:rFonts w:eastAsia="Times New Roman" w:cs="Arial"/>
        </w:rPr>
      </w:pPr>
      <w:hyperlink r:id="rId29" w:anchor="se21.5.312_162" w:history="1">
        <w:r w:rsidR="00A474A5" w:rsidRPr="00A474A5">
          <w:rPr>
            <w:rStyle w:val="Hyperlink"/>
            <w:rFonts w:eastAsia="Times New Roman" w:cs="Arial"/>
          </w:rPr>
          <w:t>http://www.ecfr.gov/cgi-bin/retrieveECFR?gp=&amp;SID=22498ff22b4c67a9d8f3a0ee60c3a58d&amp;mc=true&amp;n=pt21.5.312&amp;r=PART&amp;ty=HTML#se21.5.312_162</w:t>
        </w:r>
      </w:hyperlink>
    </w:p>
    <w:p w14:paraId="5D963575" w14:textId="77777777" w:rsidR="00A474A5" w:rsidRDefault="00A474A5" w:rsidP="005F3B39">
      <w:pPr>
        <w:spacing w:after="0" w:line="240" w:lineRule="auto"/>
        <w:ind w:left="360"/>
        <w:rPr>
          <w:rFonts w:eastAsia="Times New Roman" w:cs="Arial"/>
        </w:rPr>
      </w:pPr>
    </w:p>
    <w:p w14:paraId="1E1D79DC" w14:textId="2E1F08C0" w:rsidR="00B31AE9" w:rsidRDefault="0008526E" w:rsidP="005F3B39">
      <w:pPr>
        <w:spacing w:after="0" w:line="240" w:lineRule="auto"/>
        <w:ind w:left="360"/>
        <w:rPr>
          <w:rStyle w:val="Hyperlink"/>
          <w:rFonts w:eastAsia="Times New Roman" w:cs="Arial"/>
        </w:rPr>
      </w:pPr>
      <w:r w:rsidRPr="0008526E">
        <w:rPr>
          <w:rFonts w:eastAsia="Times New Roman" w:cs="Arial"/>
        </w:rPr>
        <w:t xml:space="preserve">FDA </w:t>
      </w:r>
      <w:hyperlink r:id="rId30" w:tgtFrame="_blank" w:history="1">
        <w:r w:rsidRPr="0008526E">
          <w:rPr>
            <w:rFonts w:eastAsia="Times New Roman" w:cs="Arial"/>
            <w:bCs/>
          </w:rPr>
          <w:t>Title 21 CFR 312.69 - Handling of controlled substances</w:t>
        </w:r>
      </w:hyperlink>
      <w:r w:rsidR="00B31AE9">
        <w:rPr>
          <w:rFonts w:eastAsia="Times New Roman" w:cs="Arial"/>
        </w:rPr>
        <w:t xml:space="preserve">: </w:t>
      </w:r>
    </w:p>
    <w:p w14:paraId="66ECE605" w14:textId="1AB27B37" w:rsidR="005F3B39" w:rsidRDefault="00353FCE" w:rsidP="005F3B39">
      <w:pPr>
        <w:spacing w:after="0" w:line="240" w:lineRule="auto"/>
        <w:ind w:left="360"/>
        <w:rPr>
          <w:rFonts w:eastAsia="Times New Roman" w:cs="Arial"/>
        </w:rPr>
      </w:pPr>
      <w:hyperlink r:id="rId31" w:anchor="se21.5.312_169" w:history="1">
        <w:r w:rsidR="00A474A5" w:rsidRPr="00A474A5">
          <w:rPr>
            <w:rStyle w:val="Hyperlink"/>
            <w:rFonts w:eastAsia="Times New Roman" w:cs="Arial"/>
          </w:rPr>
          <w:t>http://www.ecfr.gov/cgi-bin/retrieveECFR?gp=&amp;SID=22498ff22b4c67a9d8f3a0ee60c3a58d&amp;mc=true&amp;n=pt21.5.312&amp;r=PART&amp;ty=HTML#se21.5.312_169</w:t>
        </w:r>
      </w:hyperlink>
    </w:p>
    <w:p w14:paraId="779F6B57" w14:textId="77777777" w:rsidR="00A474A5" w:rsidRDefault="00A474A5" w:rsidP="005F3B39">
      <w:pPr>
        <w:spacing w:after="0" w:line="240" w:lineRule="auto"/>
        <w:ind w:left="360"/>
        <w:rPr>
          <w:rFonts w:eastAsia="Times New Roman" w:cs="Arial"/>
        </w:rPr>
      </w:pPr>
    </w:p>
    <w:p w14:paraId="5A67EFF1" w14:textId="412621B6" w:rsidR="000C70B4" w:rsidRDefault="000C70B4" w:rsidP="000C70B4">
      <w:pPr>
        <w:spacing w:after="0" w:line="240" w:lineRule="auto"/>
        <w:ind w:left="360"/>
        <w:rPr>
          <w:rFonts w:eastAsia="Times New Roman" w:cs="Arial"/>
        </w:rPr>
      </w:pPr>
      <w:r w:rsidRPr="0008526E">
        <w:rPr>
          <w:rFonts w:eastAsia="Times New Roman" w:cs="Arial"/>
        </w:rPr>
        <w:t xml:space="preserve">FDA </w:t>
      </w:r>
      <w:hyperlink r:id="rId32" w:tgtFrame="_blank" w:history="1">
        <w:r w:rsidRPr="0008526E">
          <w:rPr>
            <w:rFonts w:eastAsia="Times New Roman" w:cs="Arial"/>
            <w:bCs/>
          </w:rPr>
          <w:t>Title 21 CFR 812.5 - Labeling of investigational devices</w:t>
        </w:r>
      </w:hyperlink>
      <w:r>
        <w:rPr>
          <w:rFonts w:eastAsia="Times New Roman" w:cs="Arial"/>
        </w:rPr>
        <w:t xml:space="preserve">: </w:t>
      </w:r>
    </w:p>
    <w:p w14:paraId="6EE82652" w14:textId="2311A78B" w:rsidR="00A474A5" w:rsidRDefault="00353FCE" w:rsidP="000C70B4">
      <w:pPr>
        <w:spacing w:after="0" w:line="240" w:lineRule="auto"/>
        <w:ind w:left="360"/>
        <w:rPr>
          <w:rStyle w:val="Hyperlink"/>
          <w:rFonts w:eastAsia="Times New Roman" w:cs="Arial"/>
        </w:rPr>
      </w:pPr>
      <w:hyperlink r:id="rId33" w:history="1">
        <w:r w:rsidR="00A474A5" w:rsidRPr="00A474A5">
          <w:rPr>
            <w:rStyle w:val="Hyperlink"/>
            <w:rFonts w:eastAsia="Times New Roman" w:cs="Arial"/>
          </w:rPr>
          <w:t>http://www.ecfr.gov/cgi-bin/text-idx?SID=22498ff22b4c67a9d8f3a0ee60c3a58d&amp;mc=true&amp;node=se21.8.812_15&amp;rgn=div8</w:t>
        </w:r>
      </w:hyperlink>
    </w:p>
    <w:p w14:paraId="1AC7E9AD" w14:textId="77777777" w:rsidR="00A474A5" w:rsidRDefault="00A474A5" w:rsidP="000C70B4">
      <w:pPr>
        <w:spacing w:after="0" w:line="240" w:lineRule="auto"/>
        <w:ind w:left="360"/>
        <w:rPr>
          <w:rStyle w:val="Hyperlink"/>
          <w:rFonts w:eastAsia="Times New Roman" w:cs="Arial"/>
        </w:rPr>
      </w:pPr>
    </w:p>
    <w:p w14:paraId="28919630" w14:textId="74FD1AAD" w:rsidR="00A474A5" w:rsidRDefault="00A474A5" w:rsidP="00A474A5">
      <w:pPr>
        <w:spacing w:after="0" w:line="240" w:lineRule="auto"/>
        <w:ind w:left="360"/>
        <w:rPr>
          <w:rFonts w:eastAsia="Times New Roman" w:cs="Arial"/>
        </w:rPr>
      </w:pPr>
      <w:r>
        <w:rPr>
          <w:rFonts w:eastAsia="Times New Roman" w:cs="Arial"/>
        </w:rPr>
        <w:t>FDA Title 21 CFR 812.7</w:t>
      </w:r>
      <w:r w:rsidRPr="006421DA">
        <w:rPr>
          <w:rFonts w:eastAsia="Times New Roman" w:cs="Arial"/>
        </w:rPr>
        <w:t xml:space="preserve"> </w:t>
      </w:r>
      <w:r>
        <w:rPr>
          <w:rFonts w:eastAsia="Times New Roman" w:cs="Arial"/>
        </w:rPr>
        <w:t xml:space="preserve">- </w:t>
      </w:r>
      <w:r w:rsidRPr="00A474A5">
        <w:rPr>
          <w:rFonts w:eastAsia="Times New Roman" w:cs="Arial"/>
        </w:rPr>
        <w:t>Prohibition of promotion and other practices</w:t>
      </w:r>
      <w:r w:rsidRPr="006421DA">
        <w:rPr>
          <w:rFonts w:eastAsia="Times New Roman" w:cs="Arial"/>
        </w:rPr>
        <w:t>:</w:t>
      </w:r>
    </w:p>
    <w:p w14:paraId="025C4361" w14:textId="03DAB3F7" w:rsidR="00A474A5" w:rsidRDefault="00353FCE" w:rsidP="000C70B4">
      <w:pPr>
        <w:spacing w:after="0" w:line="240" w:lineRule="auto"/>
        <w:ind w:left="360"/>
        <w:rPr>
          <w:rStyle w:val="Hyperlink"/>
          <w:rFonts w:eastAsia="Times New Roman" w:cs="Arial"/>
        </w:rPr>
      </w:pPr>
      <w:hyperlink r:id="rId34" w:anchor="se21.8.812_17" w:history="1">
        <w:r w:rsidR="00A474A5" w:rsidRPr="00A474A5">
          <w:rPr>
            <w:rStyle w:val="Hyperlink"/>
            <w:rFonts w:eastAsia="Times New Roman" w:cs="Arial"/>
          </w:rPr>
          <w:t>http://www.ecfr.gov/cgi-bin/retrieveECFR?gp=&amp;SID=22498ff22b4c67a9d8f3a0ee60c3a58d&amp;mc=true&amp;n=sp21.8.812.a&amp;r=SUBPART&amp;ty=HTML#se21.8.812_17</w:t>
        </w:r>
      </w:hyperlink>
    </w:p>
    <w:p w14:paraId="6E0302A8" w14:textId="77777777" w:rsidR="000C70B4" w:rsidRDefault="000C70B4" w:rsidP="000C70B4">
      <w:pPr>
        <w:spacing w:after="0" w:line="240" w:lineRule="auto"/>
        <w:ind w:left="360"/>
        <w:rPr>
          <w:rStyle w:val="Hyperlink"/>
          <w:rFonts w:eastAsia="Times New Roman" w:cs="Arial"/>
        </w:rPr>
      </w:pPr>
    </w:p>
    <w:p w14:paraId="427475FB" w14:textId="77777777" w:rsidR="000C70B4" w:rsidRDefault="000C70B4" w:rsidP="000C70B4">
      <w:pPr>
        <w:spacing w:after="0" w:line="240" w:lineRule="auto"/>
        <w:ind w:left="360"/>
        <w:rPr>
          <w:rFonts w:eastAsia="Times New Roman" w:cs="Arial"/>
        </w:rPr>
      </w:pPr>
      <w:r>
        <w:rPr>
          <w:rFonts w:eastAsia="Times New Roman" w:cs="Arial"/>
        </w:rPr>
        <w:t>FDA Title 21 CFR 812.36</w:t>
      </w:r>
      <w:r w:rsidRPr="006421DA">
        <w:rPr>
          <w:rFonts w:eastAsia="Times New Roman" w:cs="Arial"/>
        </w:rPr>
        <w:t xml:space="preserve"> </w:t>
      </w:r>
      <w:r>
        <w:rPr>
          <w:rFonts w:eastAsia="Times New Roman" w:cs="Arial"/>
        </w:rPr>
        <w:t xml:space="preserve">- </w:t>
      </w:r>
      <w:r w:rsidRPr="000046FF">
        <w:rPr>
          <w:rFonts w:eastAsia="Times New Roman" w:cs="Arial"/>
        </w:rPr>
        <w:t>Treatment use of an investigational device</w:t>
      </w:r>
      <w:r w:rsidRPr="006421DA">
        <w:rPr>
          <w:rFonts w:eastAsia="Times New Roman" w:cs="Arial"/>
        </w:rPr>
        <w:t>:</w:t>
      </w:r>
    </w:p>
    <w:p w14:paraId="3C63C421" w14:textId="45B0F8CB" w:rsidR="000C70B4" w:rsidRDefault="00353FCE" w:rsidP="005F3B39">
      <w:pPr>
        <w:spacing w:after="0" w:line="240" w:lineRule="auto"/>
        <w:ind w:left="360"/>
        <w:rPr>
          <w:rStyle w:val="Hyperlink"/>
          <w:rFonts w:eastAsia="Times New Roman" w:cs="Arial"/>
        </w:rPr>
      </w:pPr>
      <w:hyperlink r:id="rId35" w:anchor="se21.8.812_136" w:history="1">
        <w:r w:rsidR="007C1DAB" w:rsidRPr="007C1DAB">
          <w:rPr>
            <w:rStyle w:val="Hyperlink"/>
            <w:rFonts w:eastAsia="Times New Roman" w:cs="Arial"/>
          </w:rPr>
          <w:t>http://www.ecfr.gov/cgi-bin/retrieveECFR?gp=&amp;SID=22498ff22b4c67a9d8f3a0ee60c3a58d&amp;mc=true&amp;n=pt21.8.812&amp;r=PART&amp;ty=HTML#se21.8.812_136</w:t>
        </w:r>
      </w:hyperlink>
    </w:p>
    <w:p w14:paraId="48644D9A" w14:textId="77777777" w:rsidR="0001529A" w:rsidRDefault="0001529A" w:rsidP="00256F69">
      <w:pPr>
        <w:spacing w:after="0" w:line="240" w:lineRule="auto"/>
        <w:ind w:left="360"/>
        <w:rPr>
          <w:rFonts w:eastAsia="Times New Roman" w:cs="Arial"/>
        </w:rPr>
      </w:pPr>
    </w:p>
    <w:p w14:paraId="5034F9E5" w14:textId="2B03B5DB" w:rsidR="00256F69" w:rsidRDefault="00256F69" w:rsidP="00256F69">
      <w:pPr>
        <w:spacing w:after="0" w:line="240" w:lineRule="auto"/>
        <w:ind w:left="360"/>
        <w:rPr>
          <w:rFonts w:eastAsia="Times New Roman" w:cs="Arial"/>
        </w:rPr>
      </w:pPr>
      <w:r>
        <w:rPr>
          <w:rFonts w:eastAsia="Times New Roman" w:cs="Arial"/>
        </w:rPr>
        <w:t>FDA Title 21 CFR 812.40</w:t>
      </w:r>
      <w:r w:rsidRPr="006421DA">
        <w:rPr>
          <w:rFonts w:eastAsia="Times New Roman" w:cs="Arial"/>
        </w:rPr>
        <w:t xml:space="preserve"> </w:t>
      </w:r>
      <w:r>
        <w:rPr>
          <w:rFonts w:eastAsia="Times New Roman" w:cs="Arial"/>
        </w:rPr>
        <w:t xml:space="preserve">- </w:t>
      </w:r>
      <w:r w:rsidRPr="00256F69">
        <w:rPr>
          <w:rFonts w:eastAsia="Times New Roman" w:cs="Arial"/>
        </w:rPr>
        <w:t>General responsibilities of sponsors</w:t>
      </w:r>
      <w:r w:rsidRPr="006421DA">
        <w:rPr>
          <w:rFonts w:eastAsia="Times New Roman" w:cs="Arial"/>
        </w:rPr>
        <w:t>:</w:t>
      </w:r>
    </w:p>
    <w:p w14:paraId="56EB47FF" w14:textId="1FC59697" w:rsidR="00256F69" w:rsidRDefault="00353FCE" w:rsidP="005F3B39">
      <w:pPr>
        <w:spacing w:after="0" w:line="240" w:lineRule="auto"/>
        <w:ind w:left="360"/>
        <w:rPr>
          <w:rFonts w:eastAsia="Times New Roman" w:cs="Arial"/>
        </w:rPr>
      </w:pPr>
      <w:hyperlink r:id="rId36" w:anchor="se21.8.812_140" w:history="1">
        <w:r w:rsidR="00256F69" w:rsidRPr="00256F69">
          <w:rPr>
            <w:rStyle w:val="Hyperlink"/>
            <w:rFonts w:eastAsia="Times New Roman" w:cs="Arial"/>
          </w:rPr>
          <w:t>http://www.ecfr.gov/cgi-bin/retrieveECFR?gp=&amp;SID=22498ff22b4c67a9d8f3a0ee60c3a58d&amp;mc=true&amp;n=pt21.8.812&amp;r=PART&amp;ty=HTML#se21.8.812_140</w:t>
        </w:r>
      </w:hyperlink>
    </w:p>
    <w:p w14:paraId="7A2ED720" w14:textId="77777777" w:rsidR="00256F69" w:rsidRDefault="00256F69" w:rsidP="005F3B39">
      <w:pPr>
        <w:spacing w:after="0" w:line="240" w:lineRule="auto"/>
        <w:ind w:left="360"/>
        <w:rPr>
          <w:rFonts w:eastAsia="Times New Roman" w:cs="Arial"/>
        </w:rPr>
      </w:pPr>
    </w:p>
    <w:p w14:paraId="5F5A5662" w14:textId="671AFBE1" w:rsidR="006421DA" w:rsidRDefault="006421DA" w:rsidP="005F3B39">
      <w:pPr>
        <w:spacing w:after="0" w:line="240" w:lineRule="auto"/>
        <w:ind w:left="360"/>
        <w:rPr>
          <w:rFonts w:eastAsia="Times New Roman" w:cs="Arial"/>
        </w:rPr>
      </w:pPr>
      <w:r>
        <w:rPr>
          <w:rFonts w:eastAsia="Times New Roman" w:cs="Arial"/>
        </w:rPr>
        <w:t>FDA Title 21 CFR 812.100</w:t>
      </w:r>
      <w:r w:rsidRPr="006421DA">
        <w:rPr>
          <w:rFonts w:eastAsia="Times New Roman" w:cs="Arial"/>
        </w:rPr>
        <w:t xml:space="preserve"> - </w:t>
      </w:r>
      <w:r w:rsidR="00971BE3">
        <w:rPr>
          <w:rFonts w:eastAsia="Times New Roman" w:cs="Arial"/>
        </w:rPr>
        <w:t xml:space="preserve">General </w:t>
      </w:r>
      <w:r w:rsidRPr="006421DA">
        <w:rPr>
          <w:rFonts w:eastAsia="Times New Roman" w:cs="Arial"/>
        </w:rPr>
        <w:t>re</w:t>
      </w:r>
      <w:r>
        <w:rPr>
          <w:rFonts w:eastAsia="Times New Roman" w:cs="Arial"/>
        </w:rPr>
        <w:t>sponsibilities of investigators</w:t>
      </w:r>
      <w:r w:rsidRPr="006421DA">
        <w:rPr>
          <w:rFonts w:eastAsia="Times New Roman" w:cs="Arial"/>
        </w:rPr>
        <w:t xml:space="preserve">: </w:t>
      </w:r>
    </w:p>
    <w:p w14:paraId="09E74B40" w14:textId="210F66F3" w:rsidR="00661597" w:rsidRDefault="00353FCE" w:rsidP="005F3B39">
      <w:pPr>
        <w:spacing w:after="0" w:line="240" w:lineRule="auto"/>
        <w:ind w:left="360"/>
        <w:rPr>
          <w:rFonts w:eastAsia="Times New Roman" w:cs="Arial"/>
        </w:rPr>
      </w:pPr>
      <w:hyperlink r:id="rId37" w:anchor="se21.8.812_1100" w:history="1">
        <w:r w:rsidR="00256F69" w:rsidRPr="00256F69">
          <w:rPr>
            <w:rStyle w:val="Hyperlink"/>
            <w:rFonts w:eastAsia="Times New Roman" w:cs="Arial"/>
          </w:rPr>
          <w:t>http://www.ecfr.gov/cgi-bin/retrieveECFR?gp=&amp;SID=22498ff22b4c67a9d8f3a0ee60c3a58d&amp;mc=true&amp;n=pt21.8.812&amp;r=PART&amp;ty=HTML#se21.8.812_1100</w:t>
        </w:r>
      </w:hyperlink>
    </w:p>
    <w:p w14:paraId="113DE18D" w14:textId="77777777" w:rsidR="00256F69" w:rsidRDefault="00256F69" w:rsidP="005F3B39">
      <w:pPr>
        <w:spacing w:after="0" w:line="240" w:lineRule="auto"/>
        <w:ind w:left="360"/>
        <w:rPr>
          <w:rFonts w:eastAsia="Times New Roman" w:cs="Arial"/>
        </w:rPr>
      </w:pPr>
    </w:p>
    <w:p w14:paraId="70BAAEBA" w14:textId="51284045" w:rsidR="006421DA" w:rsidRDefault="006421DA" w:rsidP="005F3B39">
      <w:pPr>
        <w:spacing w:after="0" w:line="240" w:lineRule="auto"/>
        <w:ind w:left="360"/>
        <w:rPr>
          <w:rFonts w:eastAsia="Times New Roman" w:cs="Arial"/>
        </w:rPr>
      </w:pPr>
      <w:r>
        <w:rPr>
          <w:rFonts w:eastAsia="Times New Roman" w:cs="Arial"/>
        </w:rPr>
        <w:t>FDA Title 21 CFR 812.110</w:t>
      </w:r>
      <w:r w:rsidRPr="006421DA">
        <w:rPr>
          <w:rFonts w:eastAsia="Times New Roman" w:cs="Arial"/>
        </w:rPr>
        <w:t xml:space="preserve"> -</w:t>
      </w:r>
      <w:r w:rsidR="00971BE3">
        <w:rPr>
          <w:rFonts w:eastAsia="Times New Roman" w:cs="Arial"/>
        </w:rPr>
        <w:t xml:space="preserve"> Specific</w:t>
      </w:r>
      <w:r w:rsidRPr="006421DA">
        <w:rPr>
          <w:rFonts w:eastAsia="Times New Roman" w:cs="Arial"/>
        </w:rPr>
        <w:t xml:space="preserve"> re</w:t>
      </w:r>
      <w:r>
        <w:rPr>
          <w:rFonts w:eastAsia="Times New Roman" w:cs="Arial"/>
        </w:rPr>
        <w:t>sponsibilities of investigators</w:t>
      </w:r>
      <w:r w:rsidRPr="006421DA">
        <w:rPr>
          <w:rFonts w:eastAsia="Times New Roman" w:cs="Arial"/>
        </w:rPr>
        <w:t>:</w:t>
      </w:r>
    </w:p>
    <w:p w14:paraId="18F2F97B" w14:textId="7AC1299F" w:rsidR="00971BE3" w:rsidRDefault="00353FCE" w:rsidP="005F3B39">
      <w:pPr>
        <w:spacing w:after="0" w:line="240" w:lineRule="auto"/>
        <w:ind w:left="360"/>
        <w:rPr>
          <w:rFonts w:eastAsia="Times New Roman" w:cs="Arial"/>
        </w:rPr>
      </w:pPr>
      <w:hyperlink r:id="rId38" w:anchor="se21.8.812_1110" w:history="1">
        <w:r w:rsidR="00256F69" w:rsidRPr="00256F69">
          <w:rPr>
            <w:rStyle w:val="Hyperlink"/>
            <w:rFonts w:eastAsia="Times New Roman" w:cs="Arial"/>
          </w:rPr>
          <w:t>http://www.ecfr.gov/cgi-bin/retrieveECFR?gp=&amp;SID=22498ff22b4c67a9d8f3a0ee60c3a58d&amp;mc=true&amp;n=pt21.8.812&amp;r=PART&amp;ty=HTML#se21.8.812_1110</w:t>
        </w:r>
      </w:hyperlink>
    </w:p>
    <w:p w14:paraId="5997567F" w14:textId="77777777" w:rsidR="001F368A" w:rsidRDefault="001F368A" w:rsidP="00971BE3">
      <w:pPr>
        <w:spacing w:after="0" w:line="240" w:lineRule="auto"/>
        <w:ind w:left="360"/>
        <w:rPr>
          <w:rFonts w:eastAsia="Times New Roman" w:cs="Arial"/>
        </w:rPr>
      </w:pPr>
    </w:p>
    <w:p w14:paraId="54B829AD" w14:textId="7F4372C8" w:rsidR="00971BE3" w:rsidRDefault="00971BE3" w:rsidP="00971BE3">
      <w:pPr>
        <w:spacing w:after="0" w:line="240" w:lineRule="auto"/>
        <w:ind w:left="360"/>
        <w:rPr>
          <w:rFonts w:eastAsia="Times New Roman" w:cs="Arial"/>
        </w:rPr>
      </w:pPr>
      <w:r>
        <w:rPr>
          <w:rFonts w:eastAsia="Times New Roman" w:cs="Arial"/>
        </w:rPr>
        <w:t>FDA Title 21 CFR 812.140</w:t>
      </w:r>
      <w:r w:rsidRPr="006421DA">
        <w:rPr>
          <w:rFonts w:eastAsia="Times New Roman" w:cs="Arial"/>
        </w:rPr>
        <w:t xml:space="preserve"> -</w:t>
      </w:r>
      <w:r>
        <w:rPr>
          <w:rFonts w:eastAsia="Times New Roman" w:cs="Arial"/>
        </w:rPr>
        <w:t xml:space="preserve"> Records</w:t>
      </w:r>
      <w:r w:rsidRPr="006421DA">
        <w:rPr>
          <w:rFonts w:eastAsia="Times New Roman" w:cs="Arial"/>
        </w:rPr>
        <w:t>:</w:t>
      </w:r>
    </w:p>
    <w:p w14:paraId="3C599BBB" w14:textId="7A88BD03" w:rsidR="00971BE3" w:rsidRDefault="00353FCE" w:rsidP="005F3B39">
      <w:pPr>
        <w:spacing w:after="0" w:line="240" w:lineRule="auto"/>
        <w:ind w:left="360"/>
        <w:rPr>
          <w:rFonts w:eastAsia="Times New Roman" w:cs="Arial"/>
        </w:rPr>
      </w:pPr>
      <w:hyperlink r:id="rId39" w:anchor="se21.8.812_1140" w:history="1">
        <w:r w:rsidR="00256F69" w:rsidRPr="00256F69">
          <w:rPr>
            <w:rStyle w:val="Hyperlink"/>
            <w:rFonts w:eastAsia="Times New Roman" w:cs="Arial"/>
          </w:rPr>
          <w:t>http://www.ecfr.gov/cgi-bin/retrieveECFR?gp=&amp;SID=22498ff22b4c67a9d8f3a0ee60c3a58d&amp;mc=true&amp;n=pt21.8.812&amp;r=PART&amp;ty=HTML#se21.8.812_1140</w:t>
        </w:r>
      </w:hyperlink>
    </w:p>
    <w:p w14:paraId="37D7D7D8" w14:textId="77777777" w:rsidR="006421DA" w:rsidRDefault="006421DA" w:rsidP="005F3B39">
      <w:pPr>
        <w:spacing w:after="0" w:line="240" w:lineRule="auto"/>
        <w:ind w:left="360"/>
        <w:rPr>
          <w:rFonts w:eastAsia="Times New Roman" w:cs="Arial"/>
        </w:rPr>
      </w:pPr>
    </w:p>
    <w:p w14:paraId="07D2CEF1" w14:textId="613FB479" w:rsidR="00661597" w:rsidRDefault="00971BE3" w:rsidP="00971BE3">
      <w:pPr>
        <w:spacing w:after="0" w:line="240" w:lineRule="auto"/>
        <w:ind w:left="360"/>
        <w:rPr>
          <w:rFonts w:eastAsia="Times New Roman" w:cs="Arial"/>
        </w:rPr>
      </w:pPr>
      <w:r>
        <w:rPr>
          <w:rFonts w:eastAsia="Times New Roman" w:cs="Arial"/>
        </w:rPr>
        <w:t>FDA Title 21 CFR 812.140(b)</w:t>
      </w:r>
      <w:r w:rsidRPr="006421DA">
        <w:rPr>
          <w:rFonts w:eastAsia="Times New Roman" w:cs="Arial"/>
        </w:rPr>
        <w:t xml:space="preserve"> </w:t>
      </w:r>
      <w:r>
        <w:rPr>
          <w:rFonts w:eastAsia="Times New Roman" w:cs="Arial"/>
        </w:rPr>
        <w:t>- Sponsor Records</w:t>
      </w:r>
      <w:r w:rsidRPr="006421DA">
        <w:rPr>
          <w:rFonts w:eastAsia="Times New Roman" w:cs="Arial"/>
        </w:rPr>
        <w:t>:</w:t>
      </w:r>
    </w:p>
    <w:p w14:paraId="5E4ED875" w14:textId="58D97662" w:rsidR="00256F69" w:rsidRDefault="00353FCE" w:rsidP="00661597">
      <w:pPr>
        <w:spacing w:after="0" w:line="240" w:lineRule="auto"/>
        <w:ind w:left="360"/>
        <w:rPr>
          <w:rFonts w:eastAsia="Times New Roman" w:cs="Arial"/>
        </w:rPr>
      </w:pPr>
      <w:hyperlink r:id="rId40" w:anchor="se21.8.812_1140" w:history="1">
        <w:r w:rsidR="00256F69" w:rsidRPr="00256F69">
          <w:rPr>
            <w:rStyle w:val="Hyperlink"/>
            <w:rFonts w:eastAsia="Times New Roman" w:cs="Arial"/>
          </w:rPr>
          <w:t>http://www.ecfr.gov/cgi-bin/retrieveECFR?gp=&amp;SID=22498ff22b4c67a9d8f3a0ee60c3a58d&amp;mc=true&amp;n=pt21.8.812&amp;r=PART&amp;ty=HTML#se21.8.812_1140</w:t>
        </w:r>
      </w:hyperlink>
    </w:p>
    <w:p w14:paraId="0094AA21" w14:textId="77777777" w:rsidR="000046FF" w:rsidRDefault="000046FF" w:rsidP="005F3B39">
      <w:pPr>
        <w:spacing w:after="0" w:line="240" w:lineRule="auto"/>
        <w:ind w:left="360"/>
        <w:rPr>
          <w:rStyle w:val="Hyperlink"/>
          <w:rFonts w:eastAsia="Times New Roman" w:cs="Arial"/>
        </w:rPr>
      </w:pPr>
    </w:p>
    <w:p w14:paraId="0BEA76CE" w14:textId="064C072A" w:rsidR="00874A75" w:rsidRDefault="00874A75" w:rsidP="005F3B39">
      <w:pPr>
        <w:spacing w:after="288" w:line="240" w:lineRule="auto"/>
        <w:ind w:left="360"/>
        <w:rPr>
          <w:rFonts w:eastAsia="Times New Roman" w:cs="Arial"/>
        </w:rPr>
      </w:pPr>
      <w:r>
        <w:rPr>
          <w:rFonts w:eastAsia="Times New Roman" w:cs="Arial"/>
        </w:rPr>
        <w:t xml:space="preserve">FDA Combination Products: </w:t>
      </w:r>
      <w:hyperlink r:id="rId41" w:history="1">
        <w:r w:rsidRPr="00C23842">
          <w:rPr>
            <w:rStyle w:val="Hyperlink"/>
            <w:rFonts w:eastAsia="Times New Roman" w:cs="Arial"/>
          </w:rPr>
          <w:t>http://www.fda.gov/CombinationProducts/AboutCombinationProducts/ucm118332.htm</w:t>
        </w:r>
      </w:hyperlink>
    </w:p>
    <w:p w14:paraId="1C061C0D" w14:textId="77777777" w:rsidR="003C7798" w:rsidRDefault="003C7798" w:rsidP="003C7798">
      <w:pPr>
        <w:widowControl w:val="0"/>
        <w:autoSpaceDE w:val="0"/>
        <w:autoSpaceDN w:val="0"/>
        <w:adjustRightInd w:val="0"/>
        <w:spacing w:after="0" w:line="239" w:lineRule="auto"/>
        <w:ind w:left="360" w:right="720"/>
      </w:pPr>
      <w:r w:rsidRPr="00AF700E">
        <w:t>International Council for Harmonisation</w:t>
      </w:r>
      <w:r>
        <w:t>:</w:t>
      </w:r>
    </w:p>
    <w:p w14:paraId="316EE0BC" w14:textId="77777777" w:rsidR="003C7798" w:rsidRPr="00656EE2" w:rsidRDefault="00353FCE" w:rsidP="003C7798">
      <w:pPr>
        <w:widowControl w:val="0"/>
        <w:autoSpaceDE w:val="0"/>
        <w:autoSpaceDN w:val="0"/>
        <w:adjustRightInd w:val="0"/>
        <w:spacing w:after="0" w:line="239" w:lineRule="auto"/>
        <w:ind w:left="360" w:right="720"/>
        <w:rPr>
          <w:rStyle w:val="Hyperlink"/>
        </w:rPr>
      </w:pPr>
      <w:hyperlink r:id="rId42" w:history="1">
        <w:r w:rsidR="003C7798" w:rsidRPr="000B0212">
          <w:rPr>
            <w:rStyle w:val="Hyperlink"/>
          </w:rPr>
          <w:t>http://www.ich.org/</w:t>
        </w:r>
      </w:hyperlink>
      <w:r w:rsidR="003C7798">
        <w:rPr>
          <w:rStyle w:val="Hyperlink"/>
        </w:rPr>
        <w:br/>
      </w:r>
      <w:hyperlink r:id="rId43" w:history="1">
        <w:r w:rsidR="003C7798" w:rsidRPr="009A3E9B">
          <w:rPr>
            <w:rStyle w:val="Hyperlink"/>
          </w:rPr>
          <w:t>https://database.ich.org/sites/default/files/E6_R2_Addendum.pdf</w:t>
        </w:r>
      </w:hyperlink>
      <w:r w:rsidR="003C7798" w:rsidRPr="009A3E9B">
        <w:rPr>
          <w:color w:val="000000"/>
        </w:rPr>
        <w:t xml:space="preserve">  </w:t>
      </w:r>
    </w:p>
    <w:p w14:paraId="11305411" w14:textId="77777777" w:rsidR="00256F69" w:rsidRDefault="00256F69" w:rsidP="005F3B39">
      <w:pPr>
        <w:spacing w:after="0" w:line="240" w:lineRule="auto"/>
        <w:ind w:left="360"/>
        <w:rPr>
          <w:rFonts w:cs="Arial"/>
        </w:rPr>
      </w:pPr>
    </w:p>
    <w:p w14:paraId="3EC35721" w14:textId="5D6C54A0" w:rsidR="006272C7" w:rsidRPr="000F610D" w:rsidRDefault="006272C7" w:rsidP="006272C7">
      <w:pPr>
        <w:spacing w:after="0" w:line="336" w:lineRule="atLeast"/>
        <w:ind w:left="360"/>
        <w:rPr>
          <w:rFonts w:cs="Arial"/>
          <w:kern w:val="36"/>
        </w:rPr>
      </w:pPr>
      <w:r w:rsidRPr="000F610D">
        <w:rPr>
          <w:rFonts w:cs="Arial"/>
          <w:kern w:val="36"/>
        </w:rPr>
        <w:t>University of Michigan - Michigan Institute for Clinical and Translational Research (MICHR) - IND/IDE (MIAP):</w:t>
      </w:r>
    </w:p>
    <w:p w14:paraId="4D52E635" w14:textId="34C83B6B" w:rsidR="006272C7" w:rsidRDefault="00353FCE" w:rsidP="006272C7">
      <w:pPr>
        <w:spacing w:after="0" w:line="336" w:lineRule="atLeast"/>
        <w:ind w:left="360"/>
      </w:pPr>
      <w:hyperlink r:id="rId44" w:history="1">
        <w:r w:rsidR="006272C7" w:rsidRPr="009F23C9">
          <w:rPr>
            <w:rStyle w:val="Hyperlink"/>
          </w:rPr>
          <w:t>https://www.michr.umich.edu/rdc/2016/4/22/indide-lifecycle-maintenance</w:t>
        </w:r>
      </w:hyperlink>
    </w:p>
    <w:p w14:paraId="1BD522F9" w14:textId="519A0013" w:rsidR="006272C7" w:rsidRDefault="006272C7" w:rsidP="009B4A11">
      <w:pPr>
        <w:pStyle w:val="Default"/>
        <w:ind w:left="360"/>
      </w:pPr>
    </w:p>
    <w:p w14:paraId="2B7C2A47" w14:textId="195403F2" w:rsidR="00E76240" w:rsidRPr="009B4A11" w:rsidRDefault="009B4A11" w:rsidP="009B4A11">
      <w:pPr>
        <w:pStyle w:val="Default"/>
        <w:ind w:left="360"/>
        <w:rPr>
          <w:rFonts w:asciiTheme="minorHAnsi" w:hAnsiTheme="minorHAnsi"/>
          <w:bCs/>
          <w:color w:val="auto"/>
          <w:sz w:val="22"/>
          <w:szCs w:val="22"/>
        </w:rPr>
      </w:pPr>
      <w:r w:rsidRPr="009B4A11">
        <w:rPr>
          <w:rFonts w:asciiTheme="minorHAnsi" w:hAnsiTheme="minorHAnsi" w:cs="Arial"/>
          <w:kern w:val="36"/>
          <w:sz w:val="22"/>
          <w:szCs w:val="22"/>
        </w:rPr>
        <w:t xml:space="preserve">University of Michigan - Michigan Institute for Clinical and Translational Research (MICHR) </w:t>
      </w:r>
      <w:r w:rsidR="009B13C4">
        <w:rPr>
          <w:rFonts w:asciiTheme="minorHAnsi" w:hAnsiTheme="minorHAnsi" w:cs="Arial"/>
          <w:kern w:val="36"/>
          <w:sz w:val="22"/>
          <w:szCs w:val="22"/>
        </w:rPr>
        <w:t>-</w:t>
      </w:r>
      <w:r w:rsidRPr="009B4A11">
        <w:rPr>
          <w:rFonts w:asciiTheme="minorHAnsi" w:hAnsiTheme="minorHAnsi" w:cs="Arial"/>
          <w:kern w:val="36"/>
          <w:sz w:val="22"/>
          <w:szCs w:val="22"/>
        </w:rPr>
        <w:t xml:space="preserve"> </w:t>
      </w:r>
      <w:r w:rsidR="00E76240" w:rsidRPr="009B4A11">
        <w:rPr>
          <w:rFonts w:asciiTheme="minorHAnsi" w:hAnsiTheme="minorHAnsi" w:cs="Arial"/>
          <w:color w:val="auto"/>
          <w:sz w:val="22"/>
          <w:szCs w:val="22"/>
        </w:rPr>
        <w:t>MIAP</w:t>
      </w:r>
      <w:r w:rsidR="00770A89">
        <w:rPr>
          <w:rFonts w:asciiTheme="minorHAnsi" w:hAnsiTheme="minorHAnsi" w:cs="Arial"/>
          <w:color w:val="auto"/>
          <w:sz w:val="22"/>
          <w:szCs w:val="22"/>
        </w:rPr>
        <w:t xml:space="preserve"> - </w:t>
      </w:r>
      <w:r w:rsidR="00770A89" w:rsidRPr="00770A89">
        <w:rPr>
          <w:rFonts w:asciiTheme="minorHAnsi" w:hAnsiTheme="minorHAnsi"/>
          <w:color w:val="auto"/>
          <w:sz w:val="22"/>
          <w:szCs w:val="22"/>
        </w:rPr>
        <w:t xml:space="preserve">For Investigator-Initiated Medical Device Clinical Investigations </w:t>
      </w:r>
      <w:r w:rsidR="00770A89">
        <w:rPr>
          <w:rFonts w:asciiTheme="minorHAnsi" w:hAnsiTheme="minorHAnsi"/>
          <w:color w:val="auto"/>
          <w:sz w:val="22"/>
          <w:szCs w:val="22"/>
        </w:rPr>
        <w:t xml:space="preserve">- </w:t>
      </w:r>
      <w:r w:rsidR="00E76240" w:rsidRPr="009B4A11">
        <w:rPr>
          <w:rFonts w:asciiTheme="minorHAnsi" w:hAnsiTheme="minorHAnsi"/>
          <w:bCs/>
          <w:color w:val="auto"/>
          <w:sz w:val="22"/>
          <w:szCs w:val="22"/>
        </w:rPr>
        <w:t>IND DECISION WORKSHEET (</w:t>
      </w:r>
      <w:r w:rsidR="00E76240" w:rsidRPr="009B4A11">
        <w:rPr>
          <w:rStyle w:val="Strong"/>
          <w:rFonts w:asciiTheme="minorHAnsi" w:hAnsiTheme="minorHAnsi" w:cs="Arial"/>
          <w:b w:val="0"/>
          <w:color w:val="auto"/>
          <w:sz w:val="22"/>
          <w:szCs w:val="22"/>
        </w:rPr>
        <w:t>IND requirement or exemption determinations):</w:t>
      </w:r>
    </w:p>
    <w:p w14:paraId="2590194F" w14:textId="7C5C90F8" w:rsidR="005624C8" w:rsidRPr="003C7798" w:rsidRDefault="00353FCE" w:rsidP="00A75A3F">
      <w:pPr>
        <w:pStyle w:val="Default"/>
        <w:ind w:left="360"/>
        <w:rPr>
          <w:rStyle w:val="Hyperlink"/>
          <w:rFonts w:asciiTheme="minorHAnsi" w:hAnsiTheme="minorHAnsi" w:cstheme="minorBidi"/>
          <w:sz w:val="22"/>
          <w:szCs w:val="22"/>
        </w:rPr>
      </w:pPr>
      <w:hyperlink r:id="rId45" w:history="1">
        <w:r w:rsidR="00741E0F" w:rsidRPr="003C7798">
          <w:rPr>
            <w:rStyle w:val="Hyperlink"/>
            <w:rFonts w:asciiTheme="minorHAnsi" w:hAnsiTheme="minorHAnsi" w:cstheme="minorBidi"/>
            <w:sz w:val="22"/>
            <w:szCs w:val="22"/>
          </w:rPr>
          <w:t>IND/IDE Decision Worksheets — MICHR (umich.edu)</w:t>
        </w:r>
      </w:hyperlink>
    </w:p>
    <w:p w14:paraId="2DDA5F00" w14:textId="77777777" w:rsidR="00A964D7" w:rsidRDefault="00A964D7" w:rsidP="0033104C">
      <w:pPr>
        <w:pStyle w:val="Default"/>
        <w:ind w:left="360"/>
        <w:rPr>
          <w:rFonts w:asciiTheme="minorHAnsi" w:hAnsiTheme="minorHAnsi" w:cs="Arial"/>
          <w:kern w:val="36"/>
          <w:sz w:val="22"/>
          <w:szCs w:val="22"/>
        </w:rPr>
      </w:pPr>
    </w:p>
    <w:p w14:paraId="671C9CD5" w14:textId="06326339" w:rsidR="0033104C" w:rsidRPr="003C7798" w:rsidRDefault="00770A89" w:rsidP="0033104C">
      <w:pPr>
        <w:pStyle w:val="Default"/>
        <w:ind w:left="360"/>
        <w:rPr>
          <w:rStyle w:val="Hyperlink"/>
          <w:rFonts w:cstheme="minorBidi"/>
        </w:rPr>
      </w:pPr>
      <w:r w:rsidRPr="009B4A11">
        <w:rPr>
          <w:rFonts w:asciiTheme="minorHAnsi" w:hAnsiTheme="minorHAnsi" w:cs="Arial"/>
          <w:kern w:val="36"/>
          <w:sz w:val="22"/>
          <w:szCs w:val="22"/>
        </w:rPr>
        <w:t xml:space="preserve">University of Michigan - Michigan Institute for Clinical and Translational Research (MICHR) </w:t>
      </w:r>
      <w:r>
        <w:rPr>
          <w:rFonts w:asciiTheme="minorHAnsi" w:hAnsiTheme="minorHAnsi" w:cs="Arial"/>
          <w:kern w:val="36"/>
          <w:sz w:val="22"/>
          <w:szCs w:val="22"/>
        </w:rPr>
        <w:t>–</w:t>
      </w:r>
      <w:r w:rsidRPr="009B4A11">
        <w:rPr>
          <w:rFonts w:asciiTheme="minorHAnsi" w:hAnsiTheme="minorHAnsi" w:cs="Arial"/>
          <w:kern w:val="36"/>
          <w:sz w:val="22"/>
          <w:szCs w:val="22"/>
        </w:rPr>
        <w:t xml:space="preserve"> </w:t>
      </w:r>
      <w:r w:rsidRPr="009B4A11">
        <w:rPr>
          <w:rFonts w:asciiTheme="minorHAnsi" w:hAnsiTheme="minorHAnsi" w:cs="Arial"/>
          <w:color w:val="auto"/>
          <w:sz w:val="22"/>
          <w:szCs w:val="22"/>
        </w:rPr>
        <w:t>MIAP</w:t>
      </w:r>
      <w:r>
        <w:rPr>
          <w:rFonts w:asciiTheme="minorHAnsi" w:hAnsiTheme="minorHAnsi" w:cs="Arial"/>
          <w:color w:val="auto"/>
          <w:sz w:val="22"/>
          <w:szCs w:val="22"/>
        </w:rPr>
        <w:t xml:space="preserve"> -</w:t>
      </w:r>
      <w:r w:rsidR="00E76240" w:rsidRPr="00E76240">
        <w:rPr>
          <w:rFonts w:asciiTheme="minorHAnsi" w:hAnsiTheme="minorHAnsi"/>
          <w:color w:val="auto"/>
          <w:sz w:val="22"/>
          <w:szCs w:val="22"/>
        </w:rPr>
        <w:t xml:space="preserve"> </w:t>
      </w:r>
      <w:r w:rsidRPr="00770A89">
        <w:rPr>
          <w:rFonts w:asciiTheme="minorHAnsi" w:hAnsiTheme="minorHAnsi"/>
          <w:color w:val="auto"/>
          <w:sz w:val="22"/>
          <w:szCs w:val="22"/>
        </w:rPr>
        <w:t xml:space="preserve">For Investigator-Initiated Medical Device Clinical Investigations </w:t>
      </w:r>
      <w:r>
        <w:rPr>
          <w:rFonts w:asciiTheme="minorHAnsi" w:hAnsiTheme="minorHAnsi"/>
          <w:color w:val="auto"/>
          <w:sz w:val="22"/>
          <w:szCs w:val="22"/>
        </w:rPr>
        <w:t xml:space="preserve">- </w:t>
      </w:r>
      <w:r w:rsidR="00E76240" w:rsidRPr="00E76240">
        <w:rPr>
          <w:rFonts w:asciiTheme="minorHAnsi" w:hAnsiTheme="minorHAnsi"/>
          <w:bCs/>
          <w:color w:val="auto"/>
          <w:sz w:val="22"/>
          <w:szCs w:val="22"/>
        </w:rPr>
        <w:t>IDE DECISION WORKSHEET (</w:t>
      </w:r>
      <w:r w:rsidR="00E76240" w:rsidRPr="00E76240">
        <w:rPr>
          <w:rStyle w:val="Strong"/>
          <w:rFonts w:asciiTheme="minorHAnsi" w:hAnsiTheme="minorHAnsi" w:cs="Arial"/>
          <w:b w:val="0"/>
          <w:color w:val="auto"/>
          <w:sz w:val="22"/>
          <w:szCs w:val="22"/>
        </w:rPr>
        <w:t>IDE</w:t>
      </w:r>
      <w:r w:rsidR="00E76240" w:rsidRPr="00E76240">
        <w:rPr>
          <w:rStyle w:val="Strong"/>
          <w:rFonts w:asciiTheme="minorHAnsi" w:hAnsiTheme="minorHAnsi" w:cs="Arial"/>
          <w:color w:val="auto"/>
          <w:sz w:val="22"/>
          <w:szCs w:val="22"/>
        </w:rPr>
        <w:t xml:space="preserve"> </w:t>
      </w:r>
      <w:r w:rsidR="00E76240" w:rsidRPr="00E76240">
        <w:rPr>
          <w:rStyle w:val="Strong"/>
          <w:rFonts w:asciiTheme="minorHAnsi" w:hAnsiTheme="minorHAnsi" w:cs="Arial"/>
          <w:b w:val="0"/>
          <w:color w:val="auto"/>
          <w:sz w:val="22"/>
          <w:szCs w:val="22"/>
        </w:rPr>
        <w:t>requirement or exemption determinations):</w:t>
      </w:r>
      <w:hyperlink r:id="rId46" w:history="1"/>
      <w:r w:rsidR="005624C8" w:rsidDel="005624C8">
        <w:t xml:space="preserve"> </w:t>
      </w:r>
      <w:r w:rsidR="005624C8" w:rsidRPr="005624C8">
        <w:t xml:space="preserve"> </w:t>
      </w:r>
      <w:hyperlink r:id="rId47" w:history="1">
        <w:r w:rsidR="00741E0F" w:rsidRPr="003C7798">
          <w:rPr>
            <w:rStyle w:val="Hyperlink"/>
            <w:rFonts w:asciiTheme="minorHAnsi" w:hAnsiTheme="minorHAnsi" w:cstheme="minorBidi"/>
            <w:sz w:val="22"/>
            <w:szCs w:val="22"/>
          </w:rPr>
          <w:t>IND/IDE Decision Worksheets — MICHR (umich.edu)</w:t>
        </w:r>
      </w:hyperlink>
    </w:p>
    <w:p w14:paraId="1BCFF908" w14:textId="7410FA85" w:rsidR="00971BE3" w:rsidRDefault="00971BE3" w:rsidP="00AA5668">
      <w:pPr>
        <w:widowControl w:val="0"/>
        <w:autoSpaceDE w:val="0"/>
        <w:autoSpaceDN w:val="0"/>
        <w:adjustRightInd w:val="0"/>
        <w:spacing w:after="0" w:line="240" w:lineRule="auto"/>
        <w:ind w:right="720"/>
      </w:pPr>
    </w:p>
    <w:p w14:paraId="154EF67D" w14:textId="14B7F4BC" w:rsidR="00A964D7" w:rsidRDefault="00A964D7" w:rsidP="00BA7C87">
      <w:pPr>
        <w:widowControl w:val="0"/>
        <w:autoSpaceDE w:val="0"/>
        <w:autoSpaceDN w:val="0"/>
        <w:adjustRightInd w:val="0"/>
        <w:spacing w:after="0" w:line="240" w:lineRule="auto"/>
        <w:ind w:left="360" w:right="720"/>
      </w:pPr>
      <w:r>
        <w:t xml:space="preserve">University of Michigan Medical School Policy on Requirement to use MICHR MIAP Services: </w:t>
      </w:r>
      <w:hyperlink r:id="rId48" w:history="1">
        <w:r w:rsidRPr="001669A8">
          <w:rPr>
            <w:rStyle w:val="Hyperlink"/>
          </w:rPr>
          <w:t>https://az.research.umich.edu/medschool/glossary/michr-indide-investigator-assistance-</w:t>
        </w:r>
        <w:r w:rsidRPr="001669A8">
          <w:rPr>
            <w:rStyle w:val="Hyperlink"/>
          </w:rPr>
          <w:lastRenderedPageBreak/>
          <w:t>program-miap</w:t>
        </w:r>
      </w:hyperlink>
      <w:r>
        <w:t xml:space="preserve">  </w:t>
      </w:r>
    </w:p>
    <w:p w14:paraId="33B2ADCC" w14:textId="5E1A5956" w:rsidR="00A964D7" w:rsidRDefault="00A964D7" w:rsidP="00BA7C87">
      <w:pPr>
        <w:widowControl w:val="0"/>
        <w:autoSpaceDE w:val="0"/>
        <w:autoSpaceDN w:val="0"/>
        <w:adjustRightInd w:val="0"/>
        <w:spacing w:after="0" w:line="240" w:lineRule="auto"/>
        <w:ind w:left="360" w:right="720"/>
      </w:pPr>
    </w:p>
    <w:p w14:paraId="1F224844" w14:textId="06C77ACF" w:rsidR="003C7798" w:rsidRPr="003C7798" w:rsidRDefault="003C7798" w:rsidP="00BA7C87">
      <w:pPr>
        <w:widowControl w:val="0"/>
        <w:autoSpaceDE w:val="0"/>
        <w:autoSpaceDN w:val="0"/>
        <w:adjustRightInd w:val="0"/>
        <w:spacing w:after="0" w:line="240" w:lineRule="auto"/>
        <w:ind w:left="360" w:right="720"/>
        <w:rPr>
          <w:rStyle w:val="cf01"/>
          <w:rFonts w:asciiTheme="minorHAnsi" w:hAnsiTheme="minorHAnsi" w:cstheme="minorHAnsi"/>
          <w:sz w:val="22"/>
          <w:szCs w:val="22"/>
        </w:rPr>
      </w:pPr>
      <w:r w:rsidRPr="003C7798">
        <w:rPr>
          <w:rStyle w:val="cf01"/>
          <w:rFonts w:asciiTheme="minorHAnsi" w:hAnsiTheme="minorHAnsi" w:cstheme="minorHAnsi"/>
          <w:sz w:val="22"/>
          <w:szCs w:val="22"/>
        </w:rPr>
        <w:t>U-M Controlled Substances in Research Review Committee</w:t>
      </w:r>
    </w:p>
    <w:p w14:paraId="2DBEFE63" w14:textId="5B49E7A2" w:rsidR="003C7798" w:rsidRPr="003C7798" w:rsidRDefault="00353FCE" w:rsidP="00BA7C87">
      <w:pPr>
        <w:widowControl w:val="0"/>
        <w:autoSpaceDE w:val="0"/>
        <w:autoSpaceDN w:val="0"/>
        <w:adjustRightInd w:val="0"/>
        <w:spacing w:after="0" w:line="240" w:lineRule="auto"/>
        <w:ind w:left="360" w:right="720"/>
        <w:rPr>
          <w:rStyle w:val="cf01"/>
          <w:rFonts w:asciiTheme="minorHAnsi" w:hAnsiTheme="minorHAnsi" w:cstheme="minorHAnsi"/>
          <w:sz w:val="22"/>
          <w:szCs w:val="22"/>
        </w:rPr>
      </w:pPr>
      <w:hyperlink r:id="rId49" w:history="1">
        <w:r w:rsidR="003C7798" w:rsidRPr="003C7798">
          <w:rPr>
            <w:rStyle w:val="cf01"/>
            <w:rFonts w:asciiTheme="minorHAnsi" w:hAnsiTheme="minorHAnsi" w:cstheme="minorHAnsi"/>
            <w:color w:val="0000FF"/>
            <w:sz w:val="22"/>
            <w:szCs w:val="22"/>
            <w:u w:val="single"/>
          </w:rPr>
          <w:t>https://research-compliance.umich.edu/controlled-substances-research</w:t>
        </w:r>
      </w:hyperlink>
    </w:p>
    <w:p w14:paraId="36570E8F" w14:textId="77777777" w:rsidR="003C7798" w:rsidRDefault="003C7798" w:rsidP="00BA7C87">
      <w:pPr>
        <w:widowControl w:val="0"/>
        <w:autoSpaceDE w:val="0"/>
        <w:autoSpaceDN w:val="0"/>
        <w:adjustRightInd w:val="0"/>
        <w:spacing w:after="0" w:line="240" w:lineRule="auto"/>
        <w:ind w:left="360" w:right="720"/>
        <w:rPr>
          <w:rStyle w:val="cf01"/>
        </w:rPr>
      </w:pPr>
    </w:p>
    <w:p w14:paraId="12B94540" w14:textId="77777777" w:rsidR="003C7798" w:rsidRDefault="003C7798" w:rsidP="003C7798">
      <w:pPr>
        <w:widowControl w:val="0"/>
        <w:autoSpaceDE w:val="0"/>
        <w:autoSpaceDN w:val="0"/>
        <w:adjustRightInd w:val="0"/>
        <w:spacing w:after="0" w:line="240" w:lineRule="auto"/>
        <w:ind w:right="720"/>
      </w:pPr>
    </w:p>
    <w:p w14:paraId="25F455FA" w14:textId="51E9E6FA" w:rsidR="00954834" w:rsidRPr="0008526E" w:rsidRDefault="00353FCE" w:rsidP="00BA7C87">
      <w:pPr>
        <w:widowControl w:val="0"/>
        <w:autoSpaceDE w:val="0"/>
        <w:autoSpaceDN w:val="0"/>
        <w:adjustRightInd w:val="0"/>
        <w:spacing w:after="0" w:line="240" w:lineRule="auto"/>
        <w:ind w:left="360" w:right="720"/>
        <w:rPr>
          <w:rFonts w:cs="Arial"/>
          <w:b/>
        </w:rPr>
      </w:pPr>
      <w:hyperlink r:id="rId50" w:tgtFrame="_blank" w:history="1">
        <w:r w:rsidR="00CC1D3A">
          <w:rPr>
            <w:rStyle w:val="Strong"/>
            <w:rFonts w:cs="Arial"/>
            <w:b w:val="0"/>
          </w:rPr>
          <w:t>Michigan Medicine</w:t>
        </w:r>
        <w:r w:rsidR="00CC1D3A" w:rsidRPr="00BA7C87">
          <w:rPr>
            <w:rStyle w:val="Strong"/>
            <w:rFonts w:cs="Arial"/>
            <w:b w:val="0"/>
          </w:rPr>
          <w:t xml:space="preserve"> </w:t>
        </w:r>
        <w:r w:rsidR="00CC1D3A">
          <w:rPr>
            <w:rStyle w:val="Strong"/>
            <w:rFonts w:cs="Arial"/>
            <w:b w:val="0"/>
          </w:rPr>
          <w:t xml:space="preserve">- </w:t>
        </w:r>
        <w:r w:rsidR="00CC1D3A" w:rsidRPr="00BA7C87">
          <w:rPr>
            <w:rStyle w:val="Strong"/>
            <w:rFonts w:cs="Arial"/>
            <w:b w:val="0"/>
          </w:rPr>
          <w:t>Department of Pharmacy Services</w:t>
        </w:r>
        <w:r w:rsidR="00CC1D3A">
          <w:rPr>
            <w:rStyle w:val="Strong"/>
            <w:rFonts w:cs="Arial"/>
            <w:b w:val="0"/>
          </w:rPr>
          <w:t xml:space="preserve"> -</w:t>
        </w:r>
        <w:r w:rsidR="00CC1D3A" w:rsidRPr="0008526E">
          <w:rPr>
            <w:rStyle w:val="Strong"/>
            <w:rFonts w:cs="Arial"/>
            <w:b w:val="0"/>
          </w:rPr>
          <w:t xml:space="preserve"> Research Pharmacy</w:t>
        </w:r>
      </w:hyperlink>
      <w:r w:rsidR="00954834">
        <w:rPr>
          <w:rFonts w:cs="Arial"/>
          <w:b/>
        </w:rPr>
        <w:t>:</w:t>
      </w:r>
    </w:p>
    <w:p w14:paraId="053C0875" w14:textId="24C9560F" w:rsidR="009E649C" w:rsidRDefault="00353FCE" w:rsidP="005F3B39">
      <w:pPr>
        <w:spacing w:after="0" w:line="240" w:lineRule="auto"/>
        <w:ind w:left="360" w:right="720"/>
        <w:rPr>
          <w:rStyle w:val="Hyperlink"/>
        </w:rPr>
      </w:pPr>
      <w:hyperlink r:id="rId51" w:history="1">
        <w:r w:rsidR="004C4692" w:rsidRPr="00802E26">
          <w:rPr>
            <w:rStyle w:val="Hyperlink"/>
          </w:rPr>
          <w:t>https://pharmwebsp.med.umich.edu/SitePages/Home.aspx</w:t>
        </w:r>
      </w:hyperlink>
    </w:p>
    <w:p w14:paraId="0BB0B9B3" w14:textId="77777777" w:rsidR="004C4692" w:rsidRDefault="004C4692" w:rsidP="005F3B39">
      <w:pPr>
        <w:spacing w:after="0" w:line="240" w:lineRule="auto"/>
        <w:ind w:left="360" w:right="720"/>
        <w:rPr>
          <w:rStyle w:val="Hyperlink"/>
        </w:rPr>
      </w:pPr>
    </w:p>
    <w:p w14:paraId="52EF1DE2" w14:textId="3AD5B699" w:rsidR="00B6298D" w:rsidRPr="0008526E" w:rsidRDefault="00353FCE" w:rsidP="00B6298D">
      <w:pPr>
        <w:widowControl w:val="0"/>
        <w:autoSpaceDE w:val="0"/>
        <w:autoSpaceDN w:val="0"/>
        <w:adjustRightInd w:val="0"/>
        <w:spacing w:after="0" w:line="240" w:lineRule="auto"/>
        <w:ind w:left="360" w:right="720"/>
        <w:rPr>
          <w:rFonts w:cs="Arial"/>
          <w:b/>
        </w:rPr>
      </w:pPr>
      <w:hyperlink r:id="rId52" w:tgtFrame="_blank" w:history="1">
        <w:r w:rsidR="003A5B71">
          <w:rPr>
            <w:rStyle w:val="Strong"/>
            <w:rFonts w:cs="Arial"/>
            <w:b w:val="0"/>
          </w:rPr>
          <w:t>Michigan Medicine</w:t>
        </w:r>
        <w:r w:rsidR="003A5B71" w:rsidRPr="00BA7C87">
          <w:rPr>
            <w:rStyle w:val="Strong"/>
            <w:rFonts w:cs="Arial"/>
            <w:b w:val="0"/>
          </w:rPr>
          <w:t xml:space="preserve"> </w:t>
        </w:r>
        <w:r w:rsidR="003A5B71">
          <w:rPr>
            <w:rStyle w:val="Strong"/>
            <w:rFonts w:cs="Arial"/>
            <w:b w:val="0"/>
          </w:rPr>
          <w:t xml:space="preserve">- </w:t>
        </w:r>
        <w:r w:rsidR="003A5B71" w:rsidRPr="00BA7C87">
          <w:rPr>
            <w:rStyle w:val="Strong"/>
            <w:rFonts w:cs="Arial"/>
            <w:b w:val="0"/>
          </w:rPr>
          <w:t>Department of Pharmacy Services</w:t>
        </w:r>
        <w:r w:rsidR="003A5B71">
          <w:rPr>
            <w:rStyle w:val="Strong"/>
            <w:rFonts w:cs="Arial"/>
            <w:b w:val="0"/>
          </w:rPr>
          <w:t xml:space="preserve"> -</w:t>
        </w:r>
        <w:r w:rsidR="003A5B71" w:rsidRPr="0008526E">
          <w:rPr>
            <w:rStyle w:val="Strong"/>
            <w:rFonts w:cs="Arial"/>
            <w:b w:val="0"/>
          </w:rPr>
          <w:t xml:space="preserve"> Research Pharmacy</w:t>
        </w:r>
      </w:hyperlink>
      <w:r w:rsidR="00B6298D">
        <w:rPr>
          <w:rStyle w:val="Strong"/>
          <w:rFonts w:cs="Arial"/>
          <w:b w:val="0"/>
        </w:rPr>
        <w:t xml:space="preserve"> Policies</w:t>
      </w:r>
      <w:r w:rsidR="00B6298D">
        <w:rPr>
          <w:rFonts w:cs="Arial"/>
          <w:b/>
        </w:rPr>
        <w:t>:</w:t>
      </w:r>
    </w:p>
    <w:p w14:paraId="207C12EF" w14:textId="2F2C42EC" w:rsidR="00B6298D" w:rsidRDefault="00353FCE" w:rsidP="005F3B39">
      <w:pPr>
        <w:spacing w:after="0" w:line="240" w:lineRule="auto"/>
        <w:ind w:left="360" w:right="720"/>
        <w:rPr>
          <w:rStyle w:val="Hyperlink"/>
        </w:rPr>
      </w:pPr>
      <w:hyperlink r:id="rId53" w:anchor="IDS" w:history="1">
        <w:r w:rsidR="00B6298D" w:rsidRPr="00802E26">
          <w:rPr>
            <w:rStyle w:val="Hyperlink"/>
          </w:rPr>
          <w:t>https://pharmwebsp.med.umich.edu/SitePages/Policies.aspx#IDS</w:t>
        </w:r>
      </w:hyperlink>
    </w:p>
    <w:p w14:paraId="50103120" w14:textId="77777777" w:rsidR="00633E4B" w:rsidRDefault="00633E4B" w:rsidP="005F3B39">
      <w:pPr>
        <w:spacing w:after="0" w:line="240" w:lineRule="auto"/>
        <w:ind w:left="360" w:right="720"/>
        <w:rPr>
          <w:rStyle w:val="Hyperlink"/>
        </w:rPr>
      </w:pPr>
    </w:p>
    <w:p w14:paraId="4BA71DE4" w14:textId="77777777" w:rsidR="00B6298D" w:rsidRDefault="00B6298D" w:rsidP="005F3B39">
      <w:pPr>
        <w:spacing w:after="0" w:line="240" w:lineRule="auto"/>
        <w:ind w:left="360" w:right="720"/>
        <w:rPr>
          <w:rStyle w:val="Hyperlink"/>
        </w:rPr>
      </w:pPr>
    </w:p>
    <w:p w14:paraId="67B1F644" w14:textId="46BD9810" w:rsidR="00695A12" w:rsidRDefault="00695A12" w:rsidP="00D41BC6">
      <w:pPr>
        <w:pStyle w:val="ListParagraph"/>
        <w:numPr>
          <w:ilvl w:val="0"/>
          <w:numId w:val="1"/>
        </w:numPr>
        <w:spacing w:after="0"/>
        <w:ind w:right="720"/>
        <w:rPr>
          <w:b/>
        </w:rPr>
      </w:pPr>
      <w:r w:rsidRPr="00695A12">
        <w:rPr>
          <w:b/>
        </w:rPr>
        <w:t>APPENDICES</w:t>
      </w:r>
      <w:r w:rsidR="00BE6802">
        <w:rPr>
          <w:b/>
        </w:rPr>
        <w:t xml:space="preserve"> </w:t>
      </w:r>
    </w:p>
    <w:p w14:paraId="432207BA" w14:textId="77777777" w:rsidR="0011468C" w:rsidRPr="0011468C" w:rsidRDefault="0011468C" w:rsidP="0011468C">
      <w:pPr>
        <w:spacing w:after="0" w:line="240" w:lineRule="auto"/>
        <w:ind w:left="397" w:right="720"/>
        <w:rPr>
          <w:rFonts w:cs="Calibri"/>
          <w:b/>
        </w:rPr>
      </w:pPr>
    </w:p>
    <w:p w14:paraId="352953FE" w14:textId="7C7E9CE8" w:rsidR="00B068E2" w:rsidRPr="0099156A" w:rsidRDefault="00B068E2" w:rsidP="00B068E2">
      <w:pPr>
        <w:widowControl w:val="0"/>
        <w:autoSpaceDE w:val="0"/>
        <w:autoSpaceDN w:val="0"/>
        <w:adjustRightInd w:val="0"/>
        <w:spacing w:after="0" w:line="240" w:lineRule="auto"/>
        <w:ind w:left="360" w:right="720"/>
        <w:rPr>
          <w:rFonts w:cs="Calibri"/>
          <w:i/>
          <w:color w:val="00B0F0"/>
        </w:rPr>
      </w:pPr>
      <w:r w:rsidRPr="0099156A">
        <w:rPr>
          <w:rFonts w:cs="Calibri"/>
          <w:i/>
          <w:color w:val="00B0F0"/>
        </w:rPr>
        <w:t>[Opt</w:t>
      </w:r>
      <w:r w:rsidR="00BE6802">
        <w:rPr>
          <w:rFonts w:cs="Calibri"/>
          <w:i/>
          <w:color w:val="00B0F0"/>
        </w:rPr>
        <w:t xml:space="preserve">ional: Insert any additional </w:t>
      </w:r>
      <w:r w:rsidR="005E4A9F">
        <w:rPr>
          <w:rFonts w:cs="Calibri"/>
          <w:i/>
          <w:color w:val="00B0F0"/>
        </w:rPr>
        <w:t>SPG</w:t>
      </w:r>
      <w:r w:rsidRPr="0099156A">
        <w:rPr>
          <w:rFonts w:cs="Calibri"/>
          <w:i/>
          <w:color w:val="00B0F0"/>
        </w:rPr>
        <w:t xml:space="preserve"> appendices]</w:t>
      </w:r>
    </w:p>
    <w:p w14:paraId="2A29DF88" w14:textId="7118C959" w:rsidR="008E7E30" w:rsidRPr="008E7E30" w:rsidRDefault="008E7E30" w:rsidP="00B068E2">
      <w:pPr>
        <w:widowControl w:val="0"/>
        <w:autoSpaceDE w:val="0"/>
        <w:autoSpaceDN w:val="0"/>
        <w:adjustRightInd w:val="0"/>
        <w:spacing w:after="0" w:line="239" w:lineRule="auto"/>
        <w:ind w:left="360" w:right="720"/>
        <w:rPr>
          <w:color w:val="00B0F0"/>
        </w:rPr>
      </w:pPr>
    </w:p>
    <w:sectPr w:rsidR="008E7E30" w:rsidRPr="008E7E30" w:rsidSect="00A6646E">
      <w:headerReference w:type="default" r:id="rId54"/>
      <w:footerReference w:type="default" r:id="rId5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C738" w14:textId="77777777" w:rsidR="00C24A4A" w:rsidRDefault="00C24A4A" w:rsidP="00695A12">
      <w:pPr>
        <w:spacing w:after="0" w:line="240" w:lineRule="auto"/>
      </w:pPr>
      <w:r>
        <w:separator/>
      </w:r>
    </w:p>
  </w:endnote>
  <w:endnote w:type="continuationSeparator" w:id="0">
    <w:p w14:paraId="0F2B0BB6" w14:textId="77777777" w:rsidR="00C24A4A" w:rsidRDefault="00C24A4A" w:rsidP="0069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65B" w14:textId="77777777" w:rsidR="00256F69" w:rsidRDefault="00256F69">
    <w:pPr>
      <w:pStyle w:val="Footer"/>
      <w:jc w:val="right"/>
    </w:pPr>
  </w:p>
  <w:p w14:paraId="67B1F65C" w14:textId="77777777" w:rsidR="00256F69" w:rsidRDefault="00256F69">
    <w:pPr>
      <w:pStyle w:val="Footer"/>
      <w:jc w:val="right"/>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5"/>
      <w:gridCol w:w="355"/>
      <w:gridCol w:w="3943"/>
      <w:gridCol w:w="355"/>
      <w:gridCol w:w="1962"/>
    </w:tblGrid>
    <w:tr w:rsidR="00256F69" w14:paraId="67B1F663" w14:textId="77777777" w:rsidTr="00A0159F">
      <w:tc>
        <w:tcPr>
          <w:tcW w:w="2808" w:type="dxa"/>
          <w:tcBorders>
            <w:top w:val="nil"/>
            <w:left w:val="nil"/>
            <w:bottom w:val="single" w:sz="8" w:space="0" w:color="auto"/>
            <w:right w:val="nil"/>
          </w:tcBorders>
        </w:tcPr>
        <w:p w14:paraId="67B1F65D" w14:textId="77777777" w:rsidR="00256F69" w:rsidRDefault="00256F69" w:rsidP="00A0159F">
          <w:pPr>
            <w:pStyle w:val="Footer"/>
            <w:rPr>
              <w:b/>
            </w:rPr>
          </w:pPr>
        </w:p>
        <w:p w14:paraId="67B1F65E" w14:textId="77777777" w:rsidR="00256F69" w:rsidRPr="00BE1E09" w:rsidRDefault="00256F69" w:rsidP="00A0159F">
          <w:pPr>
            <w:pStyle w:val="Footer"/>
            <w:rPr>
              <w:b/>
            </w:rPr>
          </w:pPr>
        </w:p>
      </w:tc>
      <w:tc>
        <w:tcPr>
          <w:tcW w:w="360" w:type="dxa"/>
          <w:tcBorders>
            <w:top w:val="nil"/>
            <w:left w:val="nil"/>
            <w:bottom w:val="nil"/>
            <w:right w:val="nil"/>
          </w:tcBorders>
        </w:tcPr>
        <w:p w14:paraId="67B1F65F" w14:textId="77777777" w:rsidR="00256F69" w:rsidRDefault="00256F69" w:rsidP="00A0159F">
          <w:pPr>
            <w:pStyle w:val="Footer"/>
          </w:pPr>
        </w:p>
      </w:tc>
      <w:tc>
        <w:tcPr>
          <w:tcW w:w="4050" w:type="dxa"/>
          <w:tcBorders>
            <w:top w:val="nil"/>
            <w:left w:val="nil"/>
            <w:bottom w:val="single" w:sz="8" w:space="0" w:color="auto"/>
            <w:right w:val="nil"/>
          </w:tcBorders>
        </w:tcPr>
        <w:p w14:paraId="67B1F660" w14:textId="77777777" w:rsidR="00256F69" w:rsidRDefault="00256F69" w:rsidP="00A0159F">
          <w:pPr>
            <w:pStyle w:val="Footer"/>
          </w:pPr>
        </w:p>
      </w:tc>
      <w:tc>
        <w:tcPr>
          <w:tcW w:w="360" w:type="dxa"/>
          <w:tcBorders>
            <w:top w:val="nil"/>
            <w:left w:val="nil"/>
            <w:bottom w:val="nil"/>
            <w:right w:val="nil"/>
          </w:tcBorders>
        </w:tcPr>
        <w:p w14:paraId="67B1F661" w14:textId="77777777" w:rsidR="00256F69" w:rsidRDefault="00256F69" w:rsidP="00A0159F">
          <w:pPr>
            <w:pStyle w:val="Footer"/>
          </w:pPr>
        </w:p>
      </w:tc>
      <w:tc>
        <w:tcPr>
          <w:tcW w:w="1998" w:type="dxa"/>
          <w:tcBorders>
            <w:top w:val="nil"/>
            <w:left w:val="nil"/>
            <w:bottom w:val="single" w:sz="8" w:space="0" w:color="auto"/>
            <w:right w:val="nil"/>
          </w:tcBorders>
        </w:tcPr>
        <w:p w14:paraId="67B1F662" w14:textId="77777777" w:rsidR="00256F69" w:rsidRDefault="00256F69" w:rsidP="00A0159F">
          <w:pPr>
            <w:pStyle w:val="Footer"/>
          </w:pPr>
        </w:p>
      </w:tc>
    </w:tr>
    <w:tr w:rsidR="00256F69" w14:paraId="67B1F66A" w14:textId="77777777" w:rsidTr="00A0159F">
      <w:tc>
        <w:tcPr>
          <w:tcW w:w="2808" w:type="dxa"/>
          <w:tcBorders>
            <w:left w:val="nil"/>
            <w:bottom w:val="nil"/>
            <w:right w:val="nil"/>
          </w:tcBorders>
          <w:vAlign w:val="bottom"/>
        </w:tcPr>
        <w:p w14:paraId="67B1F664" w14:textId="128AAB66" w:rsidR="00256F69" w:rsidRPr="00BE1E09" w:rsidRDefault="00256F69" w:rsidP="00A0159F">
          <w:pPr>
            <w:pStyle w:val="Footer"/>
            <w:rPr>
              <w:b/>
            </w:rPr>
          </w:pPr>
          <w:r>
            <w:rPr>
              <w:b/>
            </w:rPr>
            <w:t xml:space="preserve">Approver Name    </w:t>
          </w:r>
          <w:r w:rsidRPr="00B06E22">
            <w:rPr>
              <w:sz w:val="16"/>
              <w:szCs w:val="16"/>
            </w:rPr>
            <w:t>(please print)</w:t>
          </w:r>
        </w:p>
      </w:tc>
      <w:tc>
        <w:tcPr>
          <w:tcW w:w="360" w:type="dxa"/>
          <w:tcBorders>
            <w:top w:val="nil"/>
            <w:left w:val="nil"/>
            <w:bottom w:val="nil"/>
            <w:right w:val="nil"/>
          </w:tcBorders>
        </w:tcPr>
        <w:p w14:paraId="67B1F665" w14:textId="77777777" w:rsidR="00256F69" w:rsidRDefault="00256F69" w:rsidP="00A0159F">
          <w:pPr>
            <w:pStyle w:val="Footer"/>
            <w:rPr>
              <w:b/>
            </w:rPr>
          </w:pPr>
        </w:p>
      </w:tc>
      <w:tc>
        <w:tcPr>
          <w:tcW w:w="4050" w:type="dxa"/>
          <w:tcBorders>
            <w:left w:val="nil"/>
            <w:bottom w:val="nil"/>
            <w:right w:val="nil"/>
          </w:tcBorders>
          <w:vAlign w:val="bottom"/>
        </w:tcPr>
        <w:p w14:paraId="67B1F666" w14:textId="153F8067" w:rsidR="00256F69" w:rsidRPr="00317315" w:rsidRDefault="00256F69" w:rsidP="00A0159F">
          <w:pPr>
            <w:pStyle w:val="Footer"/>
            <w:rPr>
              <w:sz w:val="18"/>
              <w:szCs w:val="18"/>
            </w:rPr>
          </w:pPr>
          <w:r>
            <w:rPr>
              <w:b/>
            </w:rPr>
            <w:t xml:space="preserve">Approver </w:t>
          </w:r>
          <w:r w:rsidRPr="00CE7BB4">
            <w:rPr>
              <w:b/>
            </w:rPr>
            <w:t>Signature</w:t>
          </w:r>
          <w:r>
            <w:rPr>
              <w:b/>
            </w:rPr>
            <w:t xml:space="preserve">      </w:t>
          </w:r>
          <w:proofErr w:type="gramStart"/>
          <w:r>
            <w:rPr>
              <w:b/>
            </w:rPr>
            <w:t xml:space="preserve">   </w:t>
          </w:r>
          <w:r w:rsidRPr="00CE7BB4">
            <w:rPr>
              <w:sz w:val="16"/>
              <w:szCs w:val="16"/>
            </w:rPr>
            <w:t>(</w:t>
          </w:r>
          <w:proofErr w:type="gramEnd"/>
          <w:r w:rsidRPr="00317315">
            <w:rPr>
              <w:sz w:val="16"/>
              <w:szCs w:val="16"/>
            </w:rPr>
            <w:t xml:space="preserve">Required </w:t>
          </w:r>
          <w:r>
            <w:rPr>
              <w:sz w:val="16"/>
              <w:szCs w:val="16"/>
            </w:rPr>
            <w:t>p</w:t>
          </w:r>
          <w:r w:rsidRPr="00317315">
            <w:rPr>
              <w:sz w:val="16"/>
              <w:szCs w:val="16"/>
            </w:rPr>
            <w:t>age 1 only)</w:t>
          </w:r>
        </w:p>
      </w:tc>
      <w:tc>
        <w:tcPr>
          <w:tcW w:w="360" w:type="dxa"/>
          <w:tcBorders>
            <w:top w:val="nil"/>
            <w:left w:val="nil"/>
            <w:bottom w:val="nil"/>
            <w:right w:val="nil"/>
          </w:tcBorders>
        </w:tcPr>
        <w:p w14:paraId="67B1F667" w14:textId="77777777" w:rsidR="00256F69" w:rsidRDefault="00256F69" w:rsidP="00A0159F">
          <w:pPr>
            <w:pStyle w:val="Footer"/>
            <w:rPr>
              <w:sz w:val="18"/>
              <w:szCs w:val="18"/>
            </w:rPr>
          </w:pPr>
        </w:p>
      </w:tc>
      <w:tc>
        <w:tcPr>
          <w:tcW w:w="1998" w:type="dxa"/>
          <w:tcBorders>
            <w:left w:val="nil"/>
            <w:bottom w:val="nil"/>
            <w:right w:val="nil"/>
          </w:tcBorders>
          <w:vAlign w:val="bottom"/>
        </w:tcPr>
        <w:p w14:paraId="67B1F668" w14:textId="77777777" w:rsidR="00256F69" w:rsidRDefault="00256F69" w:rsidP="00A0159F">
          <w:pPr>
            <w:pStyle w:val="Footer"/>
            <w:rPr>
              <w:sz w:val="18"/>
              <w:szCs w:val="18"/>
            </w:rPr>
          </w:pPr>
        </w:p>
        <w:p w14:paraId="67B1F669" w14:textId="77777777" w:rsidR="00256F69" w:rsidRPr="00CE7BB4" w:rsidRDefault="00256F69" w:rsidP="00A0159F">
          <w:pPr>
            <w:pStyle w:val="Footer"/>
            <w:rPr>
              <w:b/>
            </w:rPr>
          </w:pPr>
          <w:r w:rsidRPr="00CE7BB4">
            <w:rPr>
              <w:b/>
            </w:rPr>
            <w:t>Effective Date</w:t>
          </w:r>
        </w:p>
      </w:tc>
    </w:tr>
  </w:tbl>
  <w:p w14:paraId="67B1F66B" w14:textId="77777777" w:rsidR="00256F69" w:rsidRDefault="00256F69">
    <w:pPr>
      <w:pStyle w:val="Footer"/>
      <w:jc w:val="right"/>
    </w:pPr>
  </w:p>
  <w:p w14:paraId="67B1F66C" w14:textId="77777777" w:rsidR="00256F69" w:rsidRDefault="00256F69">
    <w:pPr>
      <w:pStyle w:val="Footer"/>
      <w:jc w:val="right"/>
    </w:pPr>
  </w:p>
  <w:p w14:paraId="67B1F66D" w14:textId="77777777" w:rsidR="00256F69" w:rsidRDefault="00256F69">
    <w:pPr>
      <w:pStyle w:val="Footer"/>
      <w:jc w:val="right"/>
    </w:pPr>
  </w:p>
  <w:p w14:paraId="67B1F66E" w14:textId="7EBC9E20" w:rsidR="00256F69" w:rsidRPr="008527F7" w:rsidRDefault="00353FCE">
    <w:pPr>
      <w:pStyle w:val="Footer"/>
      <w:jc w:val="right"/>
    </w:pPr>
    <w:sdt>
      <w:sdtPr>
        <w:id w:val="-144284182"/>
        <w:docPartObj>
          <w:docPartGallery w:val="Page Numbers (Bottom of Page)"/>
          <w:docPartUnique/>
        </w:docPartObj>
      </w:sdtPr>
      <w:sdtEndPr/>
      <w:sdtContent>
        <w:sdt>
          <w:sdtPr>
            <w:id w:val="860082579"/>
            <w:docPartObj>
              <w:docPartGallery w:val="Page Numbers (Top of Page)"/>
              <w:docPartUnique/>
            </w:docPartObj>
          </w:sdtPr>
          <w:sdtEndPr/>
          <w:sdtContent>
            <w:r w:rsidR="00256F69" w:rsidRPr="008527F7">
              <w:t xml:space="preserve">Page </w:t>
            </w:r>
            <w:r w:rsidR="00256F69" w:rsidRPr="008527F7">
              <w:rPr>
                <w:bCs/>
              </w:rPr>
              <w:fldChar w:fldCharType="begin"/>
            </w:r>
            <w:r w:rsidR="00256F69" w:rsidRPr="008527F7">
              <w:rPr>
                <w:bCs/>
              </w:rPr>
              <w:instrText xml:space="preserve"> PAGE </w:instrText>
            </w:r>
            <w:r w:rsidR="00256F69" w:rsidRPr="008527F7">
              <w:rPr>
                <w:bCs/>
              </w:rPr>
              <w:fldChar w:fldCharType="separate"/>
            </w:r>
            <w:r w:rsidR="007A6EE2">
              <w:rPr>
                <w:bCs/>
                <w:noProof/>
              </w:rPr>
              <w:t>1</w:t>
            </w:r>
            <w:r w:rsidR="00256F69" w:rsidRPr="008527F7">
              <w:rPr>
                <w:bCs/>
              </w:rPr>
              <w:fldChar w:fldCharType="end"/>
            </w:r>
            <w:r w:rsidR="00256F69" w:rsidRPr="008527F7">
              <w:t xml:space="preserve"> of </w:t>
            </w:r>
            <w:r w:rsidR="00256F69" w:rsidRPr="008527F7">
              <w:rPr>
                <w:bCs/>
              </w:rPr>
              <w:fldChar w:fldCharType="begin"/>
            </w:r>
            <w:r w:rsidR="00256F69" w:rsidRPr="008527F7">
              <w:rPr>
                <w:bCs/>
              </w:rPr>
              <w:instrText xml:space="preserve"> NUMPAGES  </w:instrText>
            </w:r>
            <w:r w:rsidR="00256F69" w:rsidRPr="008527F7">
              <w:rPr>
                <w:bCs/>
              </w:rPr>
              <w:fldChar w:fldCharType="separate"/>
            </w:r>
            <w:r w:rsidR="007A6EE2">
              <w:rPr>
                <w:bCs/>
                <w:noProof/>
              </w:rPr>
              <w:t>14</w:t>
            </w:r>
            <w:r w:rsidR="00256F69" w:rsidRPr="008527F7">
              <w:rPr>
                <w:bCs/>
              </w:rPr>
              <w:fldChar w:fldCharType="end"/>
            </w:r>
          </w:sdtContent>
        </w:sdt>
      </w:sdtContent>
    </w:sdt>
  </w:p>
  <w:p w14:paraId="67B1F66F" w14:textId="77777777" w:rsidR="00256F69" w:rsidRDefault="0025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103D" w14:textId="77777777" w:rsidR="00C24A4A" w:rsidRDefault="00C24A4A" w:rsidP="00695A12">
      <w:pPr>
        <w:spacing w:after="0" w:line="240" w:lineRule="auto"/>
      </w:pPr>
      <w:r>
        <w:separator/>
      </w:r>
    </w:p>
  </w:footnote>
  <w:footnote w:type="continuationSeparator" w:id="0">
    <w:p w14:paraId="7AC7E2B3" w14:textId="77777777" w:rsidR="00C24A4A" w:rsidRDefault="00C24A4A" w:rsidP="00695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5"/>
      <w:gridCol w:w="3463"/>
      <w:gridCol w:w="1678"/>
      <w:gridCol w:w="2284"/>
    </w:tblGrid>
    <w:tr w:rsidR="00256F69" w:rsidRPr="0032110F" w14:paraId="0D609CF9" w14:textId="77777777" w:rsidTr="00D41BC6">
      <w:tc>
        <w:tcPr>
          <w:tcW w:w="1915" w:type="dxa"/>
        </w:tcPr>
        <w:p w14:paraId="5DEA8173" w14:textId="77777777" w:rsidR="00256F69" w:rsidRPr="0032110F" w:rsidRDefault="00256F69" w:rsidP="0032110F">
          <w:pPr>
            <w:tabs>
              <w:tab w:val="center" w:pos="4680"/>
              <w:tab w:val="right" w:pos="9360"/>
            </w:tabs>
            <w:rPr>
              <w:b/>
            </w:rPr>
          </w:pPr>
          <w:r w:rsidRPr="0032110F">
            <w:rPr>
              <w:b/>
            </w:rPr>
            <w:t>ORGANIZATION:</w:t>
          </w:r>
        </w:p>
      </w:tc>
      <w:tc>
        <w:tcPr>
          <w:tcW w:w="7661" w:type="dxa"/>
          <w:gridSpan w:val="3"/>
        </w:tcPr>
        <w:p w14:paraId="08750C2C" w14:textId="038C53C9" w:rsidR="00256F69" w:rsidRPr="0032110F" w:rsidRDefault="00256F69" w:rsidP="0032110F">
          <w:pPr>
            <w:tabs>
              <w:tab w:val="center" w:pos="4680"/>
              <w:tab w:val="right" w:pos="9360"/>
            </w:tabs>
            <w:rPr>
              <w:color w:val="00B0F0"/>
            </w:rPr>
          </w:pPr>
          <w:r w:rsidRPr="0032110F">
            <w:rPr>
              <w:color w:val="00B0F0"/>
            </w:rPr>
            <w:t xml:space="preserve">[Insert the name of the Organization, Department or Project which owns the </w:t>
          </w:r>
          <w:r>
            <w:rPr>
              <w:color w:val="00B0F0"/>
            </w:rPr>
            <w:t>SPG</w:t>
          </w:r>
          <w:r w:rsidRPr="0032110F">
            <w:rPr>
              <w:color w:val="00B0F0"/>
            </w:rPr>
            <w:t>]</w:t>
          </w:r>
        </w:p>
      </w:tc>
    </w:tr>
    <w:tr w:rsidR="00256F69" w:rsidRPr="0032110F" w14:paraId="0967B861" w14:textId="77777777" w:rsidTr="00D41BC6">
      <w:tc>
        <w:tcPr>
          <w:tcW w:w="1915" w:type="dxa"/>
        </w:tcPr>
        <w:p w14:paraId="4E72BDA5" w14:textId="3976FD51" w:rsidR="00256F69" w:rsidRPr="0032110F" w:rsidRDefault="00256F69" w:rsidP="0032110F">
          <w:pPr>
            <w:tabs>
              <w:tab w:val="center" w:pos="4680"/>
              <w:tab w:val="right" w:pos="9360"/>
            </w:tabs>
            <w:rPr>
              <w:b/>
            </w:rPr>
          </w:pPr>
          <w:r>
            <w:rPr>
              <w:b/>
            </w:rPr>
            <w:t>SPG</w:t>
          </w:r>
          <w:r w:rsidRPr="0032110F">
            <w:rPr>
              <w:b/>
            </w:rPr>
            <w:t xml:space="preserve"> TITLE:</w:t>
          </w:r>
        </w:p>
        <w:p w14:paraId="22E23DD5" w14:textId="77777777" w:rsidR="00256F69" w:rsidRPr="0032110F" w:rsidRDefault="00256F69" w:rsidP="0032110F">
          <w:pPr>
            <w:tabs>
              <w:tab w:val="center" w:pos="4680"/>
              <w:tab w:val="right" w:pos="9360"/>
            </w:tabs>
            <w:rPr>
              <w:b/>
            </w:rPr>
          </w:pPr>
        </w:p>
      </w:tc>
      <w:tc>
        <w:tcPr>
          <w:tcW w:w="7661" w:type="dxa"/>
          <w:gridSpan w:val="3"/>
        </w:tcPr>
        <w:p w14:paraId="5C6AD484" w14:textId="6571D8BC" w:rsidR="00256F69" w:rsidRPr="00B92F87" w:rsidRDefault="00256F69" w:rsidP="006C5B1B">
          <w:pPr>
            <w:tabs>
              <w:tab w:val="center" w:pos="4680"/>
              <w:tab w:val="right" w:pos="9360"/>
            </w:tabs>
            <w:rPr>
              <w:b/>
              <w:color w:val="00B0F0"/>
            </w:rPr>
          </w:pPr>
          <w:r w:rsidRPr="00B92F87">
            <w:rPr>
              <w:rFonts w:cs="Arial"/>
              <w:b/>
            </w:rPr>
            <w:t xml:space="preserve">Investigational Product (IP) </w:t>
          </w:r>
        </w:p>
      </w:tc>
    </w:tr>
    <w:tr w:rsidR="00256F69" w:rsidRPr="0032110F" w14:paraId="7C62C09F" w14:textId="77777777" w:rsidTr="00D41BC6">
      <w:tc>
        <w:tcPr>
          <w:tcW w:w="1915" w:type="dxa"/>
        </w:tcPr>
        <w:p w14:paraId="6B190E58" w14:textId="24E0E837" w:rsidR="00256F69" w:rsidRPr="0032110F" w:rsidRDefault="00256F69" w:rsidP="0032110F">
          <w:pPr>
            <w:tabs>
              <w:tab w:val="center" w:pos="4680"/>
              <w:tab w:val="right" w:pos="9360"/>
            </w:tabs>
            <w:rPr>
              <w:b/>
            </w:rPr>
          </w:pPr>
          <w:r>
            <w:rPr>
              <w:b/>
            </w:rPr>
            <w:t>SPG</w:t>
          </w:r>
          <w:r w:rsidRPr="0032110F">
            <w:rPr>
              <w:b/>
            </w:rPr>
            <w:t xml:space="preserve"> ID:</w:t>
          </w:r>
        </w:p>
      </w:tc>
      <w:tc>
        <w:tcPr>
          <w:tcW w:w="3593" w:type="dxa"/>
        </w:tcPr>
        <w:p w14:paraId="3B482D25" w14:textId="63394D03" w:rsidR="00256F69" w:rsidRPr="0032110F" w:rsidRDefault="00256F69" w:rsidP="0032110F">
          <w:pPr>
            <w:tabs>
              <w:tab w:val="center" w:pos="4680"/>
              <w:tab w:val="right" w:pos="9360"/>
            </w:tabs>
            <w:rPr>
              <w:color w:val="00B0F0"/>
            </w:rPr>
          </w:pPr>
          <w:r w:rsidRPr="0032110F">
            <w:rPr>
              <w:color w:val="00B0F0"/>
            </w:rPr>
            <w:t xml:space="preserve">[Insert the </w:t>
          </w:r>
          <w:r>
            <w:rPr>
              <w:color w:val="00B0F0"/>
            </w:rPr>
            <w:t>SPG</w:t>
          </w:r>
          <w:r w:rsidRPr="0032110F">
            <w:rPr>
              <w:color w:val="00B0F0"/>
            </w:rPr>
            <w:t xml:space="preserve"> identifier]</w:t>
          </w:r>
        </w:p>
      </w:tc>
      <w:tc>
        <w:tcPr>
          <w:tcW w:w="1710" w:type="dxa"/>
        </w:tcPr>
        <w:p w14:paraId="5AF8C2ED" w14:textId="284C4D6C" w:rsidR="00256F69" w:rsidRPr="0032110F" w:rsidRDefault="00256F69" w:rsidP="0032110F">
          <w:pPr>
            <w:tabs>
              <w:tab w:val="center" w:pos="4680"/>
              <w:tab w:val="right" w:pos="9360"/>
            </w:tabs>
            <w:rPr>
              <w:b/>
            </w:rPr>
          </w:pPr>
          <w:r>
            <w:rPr>
              <w:b/>
            </w:rPr>
            <w:t>SPG</w:t>
          </w:r>
          <w:r w:rsidRPr="0032110F">
            <w:rPr>
              <w:b/>
            </w:rPr>
            <w:t xml:space="preserve"> VERSION:</w:t>
          </w:r>
        </w:p>
      </w:tc>
      <w:tc>
        <w:tcPr>
          <w:tcW w:w="2358" w:type="dxa"/>
        </w:tcPr>
        <w:p w14:paraId="145AD9D0" w14:textId="12430034" w:rsidR="00256F69" w:rsidRPr="0032110F" w:rsidRDefault="00256F69" w:rsidP="0032110F">
          <w:pPr>
            <w:tabs>
              <w:tab w:val="center" w:pos="4680"/>
              <w:tab w:val="right" w:pos="9360"/>
            </w:tabs>
            <w:rPr>
              <w:color w:val="00B0F0"/>
            </w:rPr>
          </w:pPr>
          <w:r w:rsidRPr="0032110F">
            <w:rPr>
              <w:color w:val="00B0F0"/>
            </w:rPr>
            <w:t xml:space="preserve">[Insert the </w:t>
          </w:r>
          <w:r>
            <w:rPr>
              <w:color w:val="00B0F0"/>
            </w:rPr>
            <w:t>SPG</w:t>
          </w:r>
          <w:r w:rsidRPr="0032110F">
            <w:rPr>
              <w:color w:val="00B0F0"/>
            </w:rPr>
            <w:t xml:space="preserve"> version]</w:t>
          </w:r>
        </w:p>
      </w:tc>
    </w:tr>
  </w:tbl>
  <w:p w14:paraId="67B1F659" w14:textId="77777777" w:rsidR="00256F69" w:rsidRDefault="00256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011B07"/>
    <w:multiLevelType w:val="hybridMultilevel"/>
    <w:tmpl w:val="C016A4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5E19D2"/>
    <w:multiLevelType w:val="hybridMultilevel"/>
    <w:tmpl w:val="7C2E6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62AA5"/>
    <w:multiLevelType w:val="hybridMultilevel"/>
    <w:tmpl w:val="6FF4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73B0"/>
    <w:multiLevelType w:val="multilevel"/>
    <w:tmpl w:val="E77C334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D037CA"/>
    <w:multiLevelType w:val="hybridMultilevel"/>
    <w:tmpl w:val="E0361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3455A6"/>
    <w:multiLevelType w:val="hybridMultilevel"/>
    <w:tmpl w:val="C156A87C"/>
    <w:lvl w:ilvl="0" w:tplc="FFE21F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C4E0C"/>
    <w:multiLevelType w:val="hybridMultilevel"/>
    <w:tmpl w:val="90664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D0168"/>
    <w:multiLevelType w:val="hybridMultilevel"/>
    <w:tmpl w:val="4726F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264367"/>
    <w:multiLevelType w:val="hybridMultilevel"/>
    <w:tmpl w:val="6D7CC932"/>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15:restartNumberingAfterBreak="0">
    <w:nsid w:val="37184631"/>
    <w:multiLevelType w:val="hybridMultilevel"/>
    <w:tmpl w:val="E7068280"/>
    <w:lvl w:ilvl="0" w:tplc="9B44E56C">
      <w:numFmt w:val="bullet"/>
      <w:lvlText w:val=""/>
      <w:lvlJc w:val="left"/>
      <w:pPr>
        <w:ind w:left="1830" w:hanging="360"/>
      </w:pPr>
      <w:rPr>
        <w:rFonts w:ascii="Symbol" w:eastAsiaTheme="minorHAnsi" w:hAnsi="Symbol" w:cs="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0" w15:restartNumberingAfterBreak="0">
    <w:nsid w:val="3E1330F3"/>
    <w:multiLevelType w:val="hybridMultilevel"/>
    <w:tmpl w:val="1B70F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BA59B7"/>
    <w:multiLevelType w:val="hybridMultilevel"/>
    <w:tmpl w:val="1E9C88B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2" w15:restartNumberingAfterBreak="0">
    <w:nsid w:val="451A3136"/>
    <w:multiLevelType w:val="hybridMultilevel"/>
    <w:tmpl w:val="5964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21C98"/>
    <w:multiLevelType w:val="hybridMultilevel"/>
    <w:tmpl w:val="6E18F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A539C8"/>
    <w:multiLevelType w:val="hybridMultilevel"/>
    <w:tmpl w:val="D2D4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04608"/>
    <w:multiLevelType w:val="hybridMultilevel"/>
    <w:tmpl w:val="B450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E7C70"/>
    <w:multiLevelType w:val="hybridMultilevel"/>
    <w:tmpl w:val="4378D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483446"/>
    <w:multiLevelType w:val="hybridMultilevel"/>
    <w:tmpl w:val="621EA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EF2756"/>
    <w:multiLevelType w:val="multilevel"/>
    <w:tmpl w:val="A704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170735"/>
    <w:multiLevelType w:val="hybridMultilevel"/>
    <w:tmpl w:val="83B08CB0"/>
    <w:lvl w:ilvl="0" w:tplc="2F844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31789"/>
    <w:multiLevelType w:val="hybridMultilevel"/>
    <w:tmpl w:val="0E32CEB2"/>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1" w15:restartNumberingAfterBreak="0">
    <w:nsid w:val="688577D2"/>
    <w:multiLevelType w:val="hybridMultilevel"/>
    <w:tmpl w:val="24DA1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49710C"/>
    <w:multiLevelType w:val="hybridMultilevel"/>
    <w:tmpl w:val="2D28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D0152"/>
    <w:multiLevelType w:val="hybridMultilevel"/>
    <w:tmpl w:val="D07EF3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B42CF2"/>
    <w:multiLevelType w:val="hybridMultilevel"/>
    <w:tmpl w:val="0FE2B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710C77"/>
    <w:multiLevelType w:val="hybridMultilevel"/>
    <w:tmpl w:val="49EE8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5261939">
    <w:abstractNumId w:val="24"/>
  </w:num>
  <w:num w:numId="2" w16cid:durableId="1592423948">
    <w:abstractNumId w:val="8"/>
  </w:num>
  <w:num w:numId="3" w16cid:durableId="1625387143">
    <w:abstractNumId w:val="20"/>
  </w:num>
  <w:num w:numId="4" w16cid:durableId="776826856">
    <w:abstractNumId w:val="14"/>
  </w:num>
  <w:num w:numId="5" w16cid:durableId="1165124197">
    <w:abstractNumId w:val="11"/>
  </w:num>
  <w:num w:numId="6" w16cid:durableId="881017640">
    <w:abstractNumId w:val="22"/>
  </w:num>
  <w:num w:numId="7" w16cid:durableId="1593784958">
    <w:abstractNumId w:val="9"/>
  </w:num>
  <w:num w:numId="8" w16cid:durableId="2125465268">
    <w:abstractNumId w:val="1"/>
  </w:num>
  <w:num w:numId="9" w16cid:durableId="1852795760">
    <w:abstractNumId w:val="25"/>
  </w:num>
  <w:num w:numId="10" w16cid:durableId="512190016">
    <w:abstractNumId w:val="21"/>
  </w:num>
  <w:num w:numId="11" w16cid:durableId="484785451">
    <w:abstractNumId w:val="17"/>
  </w:num>
  <w:num w:numId="12" w16cid:durableId="678116149">
    <w:abstractNumId w:val="5"/>
  </w:num>
  <w:num w:numId="13" w16cid:durableId="225607002">
    <w:abstractNumId w:val="3"/>
  </w:num>
  <w:num w:numId="14" w16cid:durableId="1894580884">
    <w:abstractNumId w:val="6"/>
  </w:num>
  <w:num w:numId="15" w16cid:durableId="1416899622">
    <w:abstractNumId w:val="13"/>
  </w:num>
  <w:num w:numId="16" w16cid:durableId="580918789">
    <w:abstractNumId w:val="23"/>
  </w:num>
  <w:num w:numId="17" w16cid:durableId="1295873175">
    <w:abstractNumId w:val="10"/>
  </w:num>
  <w:num w:numId="18" w16cid:durableId="1651901711">
    <w:abstractNumId w:val="12"/>
  </w:num>
  <w:num w:numId="19" w16cid:durableId="1645424165">
    <w:abstractNumId w:val="16"/>
  </w:num>
  <w:num w:numId="20" w16cid:durableId="1691878529">
    <w:abstractNumId w:val="7"/>
  </w:num>
  <w:num w:numId="21" w16cid:durableId="2110274709">
    <w:abstractNumId w:val="2"/>
  </w:num>
  <w:num w:numId="22" w16cid:durableId="587269843">
    <w:abstractNumId w:val="4"/>
  </w:num>
  <w:num w:numId="23" w16cid:durableId="1209611204">
    <w:abstractNumId w:val="15"/>
  </w:num>
  <w:num w:numId="24" w16cid:durableId="637345714">
    <w:abstractNumId w:val="19"/>
  </w:num>
  <w:num w:numId="25" w16cid:durableId="703866799">
    <w:abstractNumId w:val="18"/>
  </w:num>
  <w:num w:numId="26" w16cid:durableId="20480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70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D82"/>
    <w:rsid w:val="0000388C"/>
    <w:rsid w:val="000046FF"/>
    <w:rsid w:val="000074A2"/>
    <w:rsid w:val="0001529A"/>
    <w:rsid w:val="000301C9"/>
    <w:rsid w:val="00031200"/>
    <w:rsid w:val="00037E2A"/>
    <w:rsid w:val="00041454"/>
    <w:rsid w:val="000444B7"/>
    <w:rsid w:val="00051969"/>
    <w:rsid w:val="00063692"/>
    <w:rsid w:val="00084D82"/>
    <w:rsid w:val="0008526E"/>
    <w:rsid w:val="00086246"/>
    <w:rsid w:val="00086426"/>
    <w:rsid w:val="00095304"/>
    <w:rsid w:val="000A548E"/>
    <w:rsid w:val="000B35F9"/>
    <w:rsid w:val="000C70B4"/>
    <w:rsid w:val="000D07E3"/>
    <w:rsid w:val="000E04EB"/>
    <w:rsid w:val="000E3789"/>
    <w:rsid w:val="000E3C99"/>
    <w:rsid w:val="000E6DB4"/>
    <w:rsid w:val="000F1E3D"/>
    <w:rsid w:val="000F2B96"/>
    <w:rsid w:val="001012A9"/>
    <w:rsid w:val="001054CE"/>
    <w:rsid w:val="00114200"/>
    <w:rsid w:val="0011468C"/>
    <w:rsid w:val="001164FC"/>
    <w:rsid w:val="0011712B"/>
    <w:rsid w:val="0011762C"/>
    <w:rsid w:val="00120501"/>
    <w:rsid w:val="00125496"/>
    <w:rsid w:val="00125A25"/>
    <w:rsid w:val="001276E7"/>
    <w:rsid w:val="00133417"/>
    <w:rsid w:val="00137106"/>
    <w:rsid w:val="00145086"/>
    <w:rsid w:val="00157673"/>
    <w:rsid w:val="00164633"/>
    <w:rsid w:val="00164805"/>
    <w:rsid w:val="00167D9E"/>
    <w:rsid w:val="0017067A"/>
    <w:rsid w:val="001727AD"/>
    <w:rsid w:val="001727B9"/>
    <w:rsid w:val="001749F0"/>
    <w:rsid w:val="0017747E"/>
    <w:rsid w:val="00177673"/>
    <w:rsid w:val="001818A9"/>
    <w:rsid w:val="0018431A"/>
    <w:rsid w:val="001A0544"/>
    <w:rsid w:val="001A2936"/>
    <w:rsid w:val="001A5E6E"/>
    <w:rsid w:val="001B33F7"/>
    <w:rsid w:val="001C15C8"/>
    <w:rsid w:val="001C5ABB"/>
    <w:rsid w:val="001C755C"/>
    <w:rsid w:val="001D7B36"/>
    <w:rsid w:val="001E58A4"/>
    <w:rsid w:val="001F368A"/>
    <w:rsid w:val="00200061"/>
    <w:rsid w:val="00201479"/>
    <w:rsid w:val="002100E9"/>
    <w:rsid w:val="00215228"/>
    <w:rsid w:val="0021662E"/>
    <w:rsid w:val="00232882"/>
    <w:rsid w:val="00237E44"/>
    <w:rsid w:val="00240AD7"/>
    <w:rsid w:val="00240E91"/>
    <w:rsid w:val="0024536B"/>
    <w:rsid w:val="002456FA"/>
    <w:rsid w:val="002501D3"/>
    <w:rsid w:val="00251039"/>
    <w:rsid w:val="00253045"/>
    <w:rsid w:val="00253A68"/>
    <w:rsid w:val="00255871"/>
    <w:rsid w:val="002560B2"/>
    <w:rsid w:val="00256F69"/>
    <w:rsid w:val="002608B6"/>
    <w:rsid w:val="0026204C"/>
    <w:rsid w:val="00272B6B"/>
    <w:rsid w:val="002736BE"/>
    <w:rsid w:val="00292194"/>
    <w:rsid w:val="00292AD5"/>
    <w:rsid w:val="002951B9"/>
    <w:rsid w:val="002A2B87"/>
    <w:rsid w:val="002A4DF5"/>
    <w:rsid w:val="002A7BB0"/>
    <w:rsid w:val="002B3211"/>
    <w:rsid w:val="002B5654"/>
    <w:rsid w:val="002B7891"/>
    <w:rsid w:val="002C69D6"/>
    <w:rsid w:val="002C700A"/>
    <w:rsid w:val="002D119D"/>
    <w:rsid w:val="002E1572"/>
    <w:rsid w:val="002F030E"/>
    <w:rsid w:val="002F2A64"/>
    <w:rsid w:val="00305ADC"/>
    <w:rsid w:val="003071F8"/>
    <w:rsid w:val="00315723"/>
    <w:rsid w:val="003162CF"/>
    <w:rsid w:val="003169EF"/>
    <w:rsid w:val="0031721B"/>
    <w:rsid w:val="00317E82"/>
    <w:rsid w:val="0032110F"/>
    <w:rsid w:val="003234DD"/>
    <w:rsid w:val="00325E56"/>
    <w:rsid w:val="003262BD"/>
    <w:rsid w:val="00330AC8"/>
    <w:rsid w:val="0033104C"/>
    <w:rsid w:val="00333E11"/>
    <w:rsid w:val="003400E9"/>
    <w:rsid w:val="00345150"/>
    <w:rsid w:val="00345F38"/>
    <w:rsid w:val="00347CBB"/>
    <w:rsid w:val="003507C2"/>
    <w:rsid w:val="00353FCE"/>
    <w:rsid w:val="0036247C"/>
    <w:rsid w:val="00362943"/>
    <w:rsid w:val="00362E10"/>
    <w:rsid w:val="003640F5"/>
    <w:rsid w:val="00367B9D"/>
    <w:rsid w:val="003748D3"/>
    <w:rsid w:val="00376847"/>
    <w:rsid w:val="003809CE"/>
    <w:rsid w:val="00383022"/>
    <w:rsid w:val="00384FFF"/>
    <w:rsid w:val="003851C0"/>
    <w:rsid w:val="003A5B71"/>
    <w:rsid w:val="003B189E"/>
    <w:rsid w:val="003B305F"/>
    <w:rsid w:val="003B532D"/>
    <w:rsid w:val="003B6689"/>
    <w:rsid w:val="003C2166"/>
    <w:rsid w:val="003C324F"/>
    <w:rsid w:val="003C43E7"/>
    <w:rsid w:val="003C7798"/>
    <w:rsid w:val="003D7944"/>
    <w:rsid w:val="003E2E26"/>
    <w:rsid w:val="003E2ECD"/>
    <w:rsid w:val="003E4CE1"/>
    <w:rsid w:val="003E5877"/>
    <w:rsid w:val="003E6DD7"/>
    <w:rsid w:val="003E6F5E"/>
    <w:rsid w:val="003E74FB"/>
    <w:rsid w:val="003F09B0"/>
    <w:rsid w:val="003F4186"/>
    <w:rsid w:val="00404CA3"/>
    <w:rsid w:val="004075C8"/>
    <w:rsid w:val="00412B46"/>
    <w:rsid w:val="00426B8A"/>
    <w:rsid w:val="00430F63"/>
    <w:rsid w:val="00436391"/>
    <w:rsid w:val="00436ADF"/>
    <w:rsid w:val="00444A67"/>
    <w:rsid w:val="00452839"/>
    <w:rsid w:val="00454FCE"/>
    <w:rsid w:val="00457838"/>
    <w:rsid w:val="004578EB"/>
    <w:rsid w:val="00460D44"/>
    <w:rsid w:val="00460EDC"/>
    <w:rsid w:val="00476758"/>
    <w:rsid w:val="004836B6"/>
    <w:rsid w:val="00485B55"/>
    <w:rsid w:val="004B6F21"/>
    <w:rsid w:val="004B7053"/>
    <w:rsid w:val="004C4692"/>
    <w:rsid w:val="004C7BA3"/>
    <w:rsid w:val="004D0CC1"/>
    <w:rsid w:val="004E188A"/>
    <w:rsid w:val="004E6F44"/>
    <w:rsid w:val="004F091A"/>
    <w:rsid w:val="004F2CBB"/>
    <w:rsid w:val="004F6D08"/>
    <w:rsid w:val="004F78C0"/>
    <w:rsid w:val="00501D1F"/>
    <w:rsid w:val="00503D25"/>
    <w:rsid w:val="0050560F"/>
    <w:rsid w:val="00506CBF"/>
    <w:rsid w:val="00512A99"/>
    <w:rsid w:val="00513BF2"/>
    <w:rsid w:val="00520212"/>
    <w:rsid w:val="00525651"/>
    <w:rsid w:val="00541A1A"/>
    <w:rsid w:val="00543D34"/>
    <w:rsid w:val="00551207"/>
    <w:rsid w:val="00554A76"/>
    <w:rsid w:val="005617F8"/>
    <w:rsid w:val="005624C8"/>
    <w:rsid w:val="0056428D"/>
    <w:rsid w:val="00571167"/>
    <w:rsid w:val="005739C2"/>
    <w:rsid w:val="00575821"/>
    <w:rsid w:val="0058374A"/>
    <w:rsid w:val="00584A6B"/>
    <w:rsid w:val="00591E1F"/>
    <w:rsid w:val="00594FB6"/>
    <w:rsid w:val="00597321"/>
    <w:rsid w:val="005A39C8"/>
    <w:rsid w:val="005A58E9"/>
    <w:rsid w:val="005B0A6B"/>
    <w:rsid w:val="005B56BB"/>
    <w:rsid w:val="005C0828"/>
    <w:rsid w:val="005D3407"/>
    <w:rsid w:val="005D4EBB"/>
    <w:rsid w:val="005E222C"/>
    <w:rsid w:val="005E4A9F"/>
    <w:rsid w:val="005E4E9B"/>
    <w:rsid w:val="005E6806"/>
    <w:rsid w:val="005F3B39"/>
    <w:rsid w:val="005F3CA3"/>
    <w:rsid w:val="005F65F8"/>
    <w:rsid w:val="00606439"/>
    <w:rsid w:val="00613067"/>
    <w:rsid w:val="006203F4"/>
    <w:rsid w:val="0062182C"/>
    <w:rsid w:val="006240B5"/>
    <w:rsid w:val="00624624"/>
    <w:rsid w:val="006272C7"/>
    <w:rsid w:val="006324A1"/>
    <w:rsid w:val="00633E4B"/>
    <w:rsid w:val="006421DA"/>
    <w:rsid w:val="00646F80"/>
    <w:rsid w:val="00661597"/>
    <w:rsid w:val="006672E9"/>
    <w:rsid w:val="006806B9"/>
    <w:rsid w:val="00695A12"/>
    <w:rsid w:val="006A0D54"/>
    <w:rsid w:val="006A3307"/>
    <w:rsid w:val="006A7983"/>
    <w:rsid w:val="006B251F"/>
    <w:rsid w:val="006B34A3"/>
    <w:rsid w:val="006B3EDE"/>
    <w:rsid w:val="006B5A45"/>
    <w:rsid w:val="006C00AE"/>
    <w:rsid w:val="006C487D"/>
    <w:rsid w:val="006C5B1B"/>
    <w:rsid w:val="006D04F3"/>
    <w:rsid w:val="006D47ED"/>
    <w:rsid w:val="006D59B8"/>
    <w:rsid w:val="006D6D52"/>
    <w:rsid w:val="006E0901"/>
    <w:rsid w:val="006E3BEF"/>
    <w:rsid w:val="006F0AFD"/>
    <w:rsid w:val="006F207D"/>
    <w:rsid w:val="006F7598"/>
    <w:rsid w:val="006F7647"/>
    <w:rsid w:val="00700A09"/>
    <w:rsid w:val="00737194"/>
    <w:rsid w:val="00741E0F"/>
    <w:rsid w:val="00741EAA"/>
    <w:rsid w:val="00746149"/>
    <w:rsid w:val="0074681D"/>
    <w:rsid w:val="00747956"/>
    <w:rsid w:val="0075248C"/>
    <w:rsid w:val="0075575D"/>
    <w:rsid w:val="00770A89"/>
    <w:rsid w:val="00772926"/>
    <w:rsid w:val="00774199"/>
    <w:rsid w:val="00776F31"/>
    <w:rsid w:val="00795F34"/>
    <w:rsid w:val="00797C42"/>
    <w:rsid w:val="007A33E6"/>
    <w:rsid w:val="007A5829"/>
    <w:rsid w:val="007A6995"/>
    <w:rsid w:val="007A6EE2"/>
    <w:rsid w:val="007A702B"/>
    <w:rsid w:val="007B111D"/>
    <w:rsid w:val="007B3F04"/>
    <w:rsid w:val="007B4479"/>
    <w:rsid w:val="007B5772"/>
    <w:rsid w:val="007B68DF"/>
    <w:rsid w:val="007C1DAB"/>
    <w:rsid w:val="007C79AE"/>
    <w:rsid w:val="007D22D0"/>
    <w:rsid w:val="007D48CB"/>
    <w:rsid w:val="007D6DBA"/>
    <w:rsid w:val="007E3BC2"/>
    <w:rsid w:val="007F2522"/>
    <w:rsid w:val="00800CD7"/>
    <w:rsid w:val="00801C7D"/>
    <w:rsid w:val="00802AEE"/>
    <w:rsid w:val="00803F1B"/>
    <w:rsid w:val="008048ED"/>
    <w:rsid w:val="0080768E"/>
    <w:rsid w:val="00814C1C"/>
    <w:rsid w:val="00817E2E"/>
    <w:rsid w:val="00831407"/>
    <w:rsid w:val="00832935"/>
    <w:rsid w:val="008352E2"/>
    <w:rsid w:val="00836F76"/>
    <w:rsid w:val="00837514"/>
    <w:rsid w:val="008527F7"/>
    <w:rsid w:val="00856AAC"/>
    <w:rsid w:val="00860744"/>
    <w:rsid w:val="00872FCA"/>
    <w:rsid w:val="00874A75"/>
    <w:rsid w:val="00875F6D"/>
    <w:rsid w:val="00883B4F"/>
    <w:rsid w:val="00884F57"/>
    <w:rsid w:val="00886D6E"/>
    <w:rsid w:val="00887FAC"/>
    <w:rsid w:val="00892DE2"/>
    <w:rsid w:val="00893A96"/>
    <w:rsid w:val="008959FD"/>
    <w:rsid w:val="008B1995"/>
    <w:rsid w:val="008B3413"/>
    <w:rsid w:val="008D1B5F"/>
    <w:rsid w:val="008D68F6"/>
    <w:rsid w:val="008E4E8C"/>
    <w:rsid w:val="008E7E30"/>
    <w:rsid w:val="008F29C0"/>
    <w:rsid w:val="008F3B31"/>
    <w:rsid w:val="008F49BF"/>
    <w:rsid w:val="0090065E"/>
    <w:rsid w:val="00912CAE"/>
    <w:rsid w:val="00915CEB"/>
    <w:rsid w:val="0092426C"/>
    <w:rsid w:val="00927C08"/>
    <w:rsid w:val="0093243E"/>
    <w:rsid w:val="00935119"/>
    <w:rsid w:val="00943A77"/>
    <w:rsid w:val="00943B97"/>
    <w:rsid w:val="00944973"/>
    <w:rsid w:val="00946CA0"/>
    <w:rsid w:val="00950899"/>
    <w:rsid w:val="00950BF6"/>
    <w:rsid w:val="00953FBF"/>
    <w:rsid w:val="00954613"/>
    <w:rsid w:val="00954834"/>
    <w:rsid w:val="009641DF"/>
    <w:rsid w:val="00966343"/>
    <w:rsid w:val="00966A59"/>
    <w:rsid w:val="00971507"/>
    <w:rsid w:val="00971BE3"/>
    <w:rsid w:val="009735AD"/>
    <w:rsid w:val="00993938"/>
    <w:rsid w:val="009A3BC7"/>
    <w:rsid w:val="009B13C4"/>
    <w:rsid w:val="009B2DD2"/>
    <w:rsid w:val="009B4A11"/>
    <w:rsid w:val="009C7CFE"/>
    <w:rsid w:val="009C7E0D"/>
    <w:rsid w:val="009D25A8"/>
    <w:rsid w:val="009D2FDE"/>
    <w:rsid w:val="009D5844"/>
    <w:rsid w:val="009D7423"/>
    <w:rsid w:val="009D75F5"/>
    <w:rsid w:val="009E2FE4"/>
    <w:rsid w:val="009E3FD2"/>
    <w:rsid w:val="009E649C"/>
    <w:rsid w:val="009F26C3"/>
    <w:rsid w:val="009F6629"/>
    <w:rsid w:val="00A0159F"/>
    <w:rsid w:val="00A04CFA"/>
    <w:rsid w:val="00A11632"/>
    <w:rsid w:val="00A17414"/>
    <w:rsid w:val="00A223C7"/>
    <w:rsid w:val="00A2484D"/>
    <w:rsid w:val="00A27B03"/>
    <w:rsid w:val="00A341CD"/>
    <w:rsid w:val="00A37DE9"/>
    <w:rsid w:val="00A474A5"/>
    <w:rsid w:val="00A506F1"/>
    <w:rsid w:val="00A602F6"/>
    <w:rsid w:val="00A6646E"/>
    <w:rsid w:val="00A70E49"/>
    <w:rsid w:val="00A75A3F"/>
    <w:rsid w:val="00A836F6"/>
    <w:rsid w:val="00A871EB"/>
    <w:rsid w:val="00A92225"/>
    <w:rsid w:val="00A93A84"/>
    <w:rsid w:val="00A95450"/>
    <w:rsid w:val="00A964D7"/>
    <w:rsid w:val="00AA5668"/>
    <w:rsid w:val="00AA5BE9"/>
    <w:rsid w:val="00AB2D3E"/>
    <w:rsid w:val="00AB72E3"/>
    <w:rsid w:val="00AC24F7"/>
    <w:rsid w:val="00AC5D86"/>
    <w:rsid w:val="00AE4E35"/>
    <w:rsid w:val="00AE5FC0"/>
    <w:rsid w:val="00AF3DE8"/>
    <w:rsid w:val="00B068E2"/>
    <w:rsid w:val="00B14A83"/>
    <w:rsid w:val="00B16BF5"/>
    <w:rsid w:val="00B17C88"/>
    <w:rsid w:val="00B2477D"/>
    <w:rsid w:val="00B256BB"/>
    <w:rsid w:val="00B31AE9"/>
    <w:rsid w:val="00B36FAC"/>
    <w:rsid w:val="00B371FA"/>
    <w:rsid w:val="00B52DC9"/>
    <w:rsid w:val="00B54F0E"/>
    <w:rsid w:val="00B6298D"/>
    <w:rsid w:val="00B636FD"/>
    <w:rsid w:val="00B64184"/>
    <w:rsid w:val="00B701A2"/>
    <w:rsid w:val="00B73556"/>
    <w:rsid w:val="00B74A57"/>
    <w:rsid w:val="00B76AF5"/>
    <w:rsid w:val="00B9073D"/>
    <w:rsid w:val="00B912DE"/>
    <w:rsid w:val="00B9247A"/>
    <w:rsid w:val="00B92F87"/>
    <w:rsid w:val="00B96FB0"/>
    <w:rsid w:val="00B97B89"/>
    <w:rsid w:val="00BA7C87"/>
    <w:rsid w:val="00BB112A"/>
    <w:rsid w:val="00BC019F"/>
    <w:rsid w:val="00BC3CF2"/>
    <w:rsid w:val="00BC772F"/>
    <w:rsid w:val="00BD2A53"/>
    <w:rsid w:val="00BD3334"/>
    <w:rsid w:val="00BE0304"/>
    <w:rsid w:val="00BE5D18"/>
    <w:rsid w:val="00BE6802"/>
    <w:rsid w:val="00BF10DF"/>
    <w:rsid w:val="00BF2381"/>
    <w:rsid w:val="00BF617D"/>
    <w:rsid w:val="00C0352F"/>
    <w:rsid w:val="00C06A2B"/>
    <w:rsid w:val="00C15720"/>
    <w:rsid w:val="00C21642"/>
    <w:rsid w:val="00C24A4A"/>
    <w:rsid w:val="00C34D26"/>
    <w:rsid w:val="00C461FA"/>
    <w:rsid w:val="00C4679D"/>
    <w:rsid w:val="00C47DA2"/>
    <w:rsid w:val="00C511DE"/>
    <w:rsid w:val="00C5474D"/>
    <w:rsid w:val="00C60767"/>
    <w:rsid w:val="00C62ABE"/>
    <w:rsid w:val="00C735D7"/>
    <w:rsid w:val="00C744D6"/>
    <w:rsid w:val="00C8176C"/>
    <w:rsid w:val="00C867FF"/>
    <w:rsid w:val="00C91063"/>
    <w:rsid w:val="00C92CDE"/>
    <w:rsid w:val="00CA6AB4"/>
    <w:rsid w:val="00CC1D3A"/>
    <w:rsid w:val="00CC4DEF"/>
    <w:rsid w:val="00CD12A1"/>
    <w:rsid w:val="00CD2B59"/>
    <w:rsid w:val="00CD4A66"/>
    <w:rsid w:val="00CE043F"/>
    <w:rsid w:val="00CE20F4"/>
    <w:rsid w:val="00CE49D5"/>
    <w:rsid w:val="00CE4A28"/>
    <w:rsid w:val="00CE503C"/>
    <w:rsid w:val="00CF2359"/>
    <w:rsid w:val="00CF6076"/>
    <w:rsid w:val="00CF7075"/>
    <w:rsid w:val="00D01D97"/>
    <w:rsid w:val="00D03CEF"/>
    <w:rsid w:val="00D14E04"/>
    <w:rsid w:val="00D16222"/>
    <w:rsid w:val="00D16FBC"/>
    <w:rsid w:val="00D229B9"/>
    <w:rsid w:val="00D25FCB"/>
    <w:rsid w:val="00D32492"/>
    <w:rsid w:val="00D331C6"/>
    <w:rsid w:val="00D331FF"/>
    <w:rsid w:val="00D33D2E"/>
    <w:rsid w:val="00D41BC6"/>
    <w:rsid w:val="00D41D99"/>
    <w:rsid w:val="00D4391F"/>
    <w:rsid w:val="00D457BF"/>
    <w:rsid w:val="00D45D36"/>
    <w:rsid w:val="00D46B06"/>
    <w:rsid w:val="00D53E6E"/>
    <w:rsid w:val="00D562A1"/>
    <w:rsid w:val="00D56868"/>
    <w:rsid w:val="00D56CAB"/>
    <w:rsid w:val="00D71D66"/>
    <w:rsid w:val="00D73D5F"/>
    <w:rsid w:val="00D838F1"/>
    <w:rsid w:val="00D83938"/>
    <w:rsid w:val="00DA0206"/>
    <w:rsid w:val="00DA2692"/>
    <w:rsid w:val="00DB2AED"/>
    <w:rsid w:val="00DB5E73"/>
    <w:rsid w:val="00DC6234"/>
    <w:rsid w:val="00DC7AB9"/>
    <w:rsid w:val="00DD03A6"/>
    <w:rsid w:val="00DD2255"/>
    <w:rsid w:val="00DE5931"/>
    <w:rsid w:val="00DE60CE"/>
    <w:rsid w:val="00DE72E1"/>
    <w:rsid w:val="00DF0BDE"/>
    <w:rsid w:val="00DF6241"/>
    <w:rsid w:val="00E07007"/>
    <w:rsid w:val="00E11031"/>
    <w:rsid w:val="00E11528"/>
    <w:rsid w:val="00E26697"/>
    <w:rsid w:val="00E30412"/>
    <w:rsid w:val="00E47BF7"/>
    <w:rsid w:val="00E65A38"/>
    <w:rsid w:val="00E70375"/>
    <w:rsid w:val="00E7286D"/>
    <w:rsid w:val="00E76240"/>
    <w:rsid w:val="00E8293A"/>
    <w:rsid w:val="00E85252"/>
    <w:rsid w:val="00E853CA"/>
    <w:rsid w:val="00E85F2C"/>
    <w:rsid w:val="00E85F8C"/>
    <w:rsid w:val="00E86779"/>
    <w:rsid w:val="00E920F6"/>
    <w:rsid w:val="00E92D7E"/>
    <w:rsid w:val="00E95934"/>
    <w:rsid w:val="00E96008"/>
    <w:rsid w:val="00E9717B"/>
    <w:rsid w:val="00EA5771"/>
    <w:rsid w:val="00EB3076"/>
    <w:rsid w:val="00EB6001"/>
    <w:rsid w:val="00ED51DB"/>
    <w:rsid w:val="00ED60F0"/>
    <w:rsid w:val="00EE1354"/>
    <w:rsid w:val="00EE63BA"/>
    <w:rsid w:val="00EF0DFE"/>
    <w:rsid w:val="00EF22F4"/>
    <w:rsid w:val="00EF7AFA"/>
    <w:rsid w:val="00F025DD"/>
    <w:rsid w:val="00F0276E"/>
    <w:rsid w:val="00F20B61"/>
    <w:rsid w:val="00F2303A"/>
    <w:rsid w:val="00F2494A"/>
    <w:rsid w:val="00F25BC3"/>
    <w:rsid w:val="00F43AE2"/>
    <w:rsid w:val="00F46448"/>
    <w:rsid w:val="00F5045C"/>
    <w:rsid w:val="00F51D63"/>
    <w:rsid w:val="00F52267"/>
    <w:rsid w:val="00F57351"/>
    <w:rsid w:val="00F62822"/>
    <w:rsid w:val="00F63389"/>
    <w:rsid w:val="00F655D4"/>
    <w:rsid w:val="00F73EA0"/>
    <w:rsid w:val="00F83C9B"/>
    <w:rsid w:val="00FA420A"/>
    <w:rsid w:val="00FB3CB0"/>
    <w:rsid w:val="00FB51EC"/>
    <w:rsid w:val="00FC2D1C"/>
    <w:rsid w:val="00FC2FA6"/>
    <w:rsid w:val="00FC5485"/>
    <w:rsid w:val="00FC634A"/>
    <w:rsid w:val="00FD1508"/>
    <w:rsid w:val="00FD2876"/>
    <w:rsid w:val="00FE1EF5"/>
    <w:rsid w:val="00FE2F03"/>
    <w:rsid w:val="00FE4055"/>
    <w:rsid w:val="00FE7845"/>
    <w:rsid w:val="00FF1F96"/>
    <w:rsid w:val="00FF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1F630"/>
  <w15:docId w15:val="{3BC77F95-2120-409E-AFCF-0C18FF1A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9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BC2"/>
    <w:pPr>
      <w:ind w:left="720"/>
      <w:contextualSpacing/>
    </w:pPr>
  </w:style>
  <w:style w:type="paragraph" w:styleId="Header">
    <w:name w:val="header"/>
    <w:basedOn w:val="Normal"/>
    <w:link w:val="HeaderChar"/>
    <w:uiPriority w:val="99"/>
    <w:unhideWhenUsed/>
    <w:rsid w:val="00695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A12"/>
  </w:style>
  <w:style w:type="paragraph" w:styleId="Footer">
    <w:name w:val="footer"/>
    <w:basedOn w:val="Normal"/>
    <w:link w:val="FooterChar"/>
    <w:uiPriority w:val="99"/>
    <w:unhideWhenUsed/>
    <w:rsid w:val="00695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A12"/>
  </w:style>
  <w:style w:type="table" w:styleId="TableGrid">
    <w:name w:val="Table Grid"/>
    <w:basedOn w:val="TableNormal"/>
    <w:uiPriority w:val="59"/>
    <w:rsid w:val="0069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67"/>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130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13067"/>
    <w:rPr>
      <w:rFonts w:ascii="Tahoma" w:eastAsia="Times New Roman" w:hAnsi="Tahoma" w:cs="Tahoma"/>
      <w:sz w:val="16"/>
      <w:szCs w:val="16"/>
    </w:rPr>
  </w:style>
  <w:style w:type="character" w:customStyle="1" w:styleId="Heading1Char">
    <w:name w:val="Heading 1 Char"/>
    <w:basedOn w:val="DefaultParagraphFont"/>
    <w:link w:val="Heading1"/>
    <w:uiPriority w:val="9"/>
    <w:rsid w:val="008F49B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B111D"/>
    <w:rPr>
      <w:color w:val="0000FF" w:themeColor="hyperlink"/>
      <w:u w:val="single"/>
    </w:rPr>
  </w:style>
  <w:style w:type="character" w:styleId="CommentReference">
    <w:name w:val="annotation reference"/>
    <w:basedOn w:val="DefaultParagraphFont"/>
    <w:uiPriority w:val="99"/>
    <w:semiHidden/>
    <w:unhideWhenUsed/>
    <w:rsid w:val="00D14E04"/>
    <w:rPr>
      <w:sz w:val="16"/>
      <w:szCs w:val="16"/>
    </w:rPr>
  </w:style>
  <w:style w:type="paragraph" w:styleId="CommentText">
    <w:name w:val="annotation text"/>
    <w:basedOn w:val="Normal"/>
    <w:link w:val="CommentTextChar"/>
    <w:uiPriority w:val="99"/>
    <w:unhideWhenUsed/>
    <w:rsid w:val="00D14E04"/>
    <w:pPr>
      <w:spacing w:line="240" w:lineRule="auto"/>
    </w:pPr>
    <w:rPr>
      <w:sz w:val="20"/>
      <w:szCs w:val="20"/>
    </w:rPr>
  </w:style>
  <w:style w:type="character" w:customStyle="1" w:styleId="CommentTextChar">
    <w:name w:val="Comment Text Char"/>
    <w:basedOn w:val="DefaultParagraphFont"/>
    <w:link w:val="CommentText"/>
    <w:uiPriority w:val="99"/>
    <w:rsid w:val="00D14E04"/>
    <w:rPr>
      <w:sz w:val="20"/>
      <w:szCs w:val="20"/>
    </w:rPr>
  </w:style>
  <w:style w:type="paragraph" w:styleId="CommentSubject">
    <w:name w:val="annotation subject"/>
    <w:basedOn w:val="CommentText"/>
    <w:next w:val="CommentText"/>
    <w:link w:val="CommentSubjectChar"/>
    <w:uiPriority w:val="99"/>
    <w:semiHidden/>
    <w:unhideWhenUsed/>
    <w:rsid w:val="00D14E04"/>
    <w:rPr>
      <w:b/>
      <w:bCs/>
    </w:rPr>
  </w:style>
  <w:style w:type="character" w:customStyle="1" w:styleId="CommentSubjectChar">
    <w:name w:val="Comment Subject Char"/>
    <w:basedOn w:val="CommentTextChar"/>
    <w:link w:val="CommentSubject"/>
    <w:uiPriority w:val="99"/>
    <w:semiHidden/>
    <w:rsid w:val="00D14E04"/>
    <w:rPr>
      <w:b/>
      <w:bCs/>
      <w:sz w:val="20"/>
      <w:szCs w:val="20"/>
    </w:rPr>
  </w:style>
  <w:style w:type="table" w:customStyle="1" w:styleId="TableGrid1">
    <w:name w:val="Table Grid1"/>
    <w:basedOn w:val="TableNormal"/>
    <w:next w:val="TableGrid"/>
    <w:uiPriority w:val="59"/>
    <w:rsid w:val="0032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B56BB"/>
    <w:rPr>
      <w:b/>
      <w:bCs/>
    </w:rPr>
  </w:style>
  <w:style w:type="paragraph" w:styleId="NormalWeb">
    <w:name w:val="Normal (Web)"/>
    <w:basedOn w:val="Normal"/>
    <w:uiPriority w:val="99"/>
    <w:unhideWhenUsed/>
    <w:rsid w:val="006E3BE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B68DF"/>
    <w:pPr>
      <w:spacing w:after="0" w:line="240" w:lineRule="auto"/>
    </w:pPr>
  </w:style>
  <w:style w:type="character" w:styleId="FollowedHyperlink">
    <w:name w:val="FollowedHyperlink"/>
    <w:basedOn w:val="DefaultParagraphFont"/>
    <w:uiPriority w:val="99"/>
    <w:semiHidden/>
    <w:unhideWhenUsed/>
    <w:rsid w:val="00E30412"/>
    <w:rPr>
      <w:color w:val="800080" w:themeColor="followedHyperlink"/>
      <w:u w:val="single"/>
    </w:rPr>
  </w:style>
  <w:style w:type="paragraph" w:customStyle="1" w:styleId="Default">
    <w:name w:val="Default"/>
    <w:rsid w:val="00E762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292AD5"/>
  </w:style>
  <w:style w:type="paragraph" w:customStyle="1" w:styleId="updated">
    <w:name w:val="updated"/>
    <w:basedOn w:val="Normal"/>
    <w:rsid w:val="00041454"/>
    <w:pPr>
      <w:spacing w:before="100" w:beforeAutospacing="1" w:after="100" w:afterAutospacing="1" w:line="240" w:lineRule="auto"/>
      <w:jc w:val="center"/>
    </w:pPr>
    <w:rPr>
      <w:rFonts w:ascii="Arial" w:eastAsia="Times New Roman" w:hAnsi="Arial" w:cs="Arial"/>
      <w:b/>
      <w:bCs/>
      <w:color w:val="FF0000"/>
      <w:sz w:val="27"/>
      <w:szCs w:val="27"/>
    </w:rPr>
  </w:style>
  <w:style w:type="character" w:styleId="UnresolvedMention">
    <w:name w:val="Unresolved Mention"/>
    <w:basedOn w:val="DefaultParagraphFont"/>
    <w:uiPriority w:val="99"/>
    <w:semiHidden/>
    <w:unhideWhenUsed/>
    <w:rsid w:val="00A964D7"/>
    <w:rPr>
      <w:color w:val="605E5C"/>
      <w:shd w:val="clear" w:color="auto" w:fill="E1DFDD"/>
    </w:rPr>
  </w:style>
  <w:style w:type="character" w:customStyle="1" w:styleId="cf01">
    <w:name w:val="cf01"/>
    <w:basedOn w:val="DefaultParagraphFont"/>
    <w:rsid w:val="003C7798"/>
    <w:rPr>
      <w:rFonts w:ascii="Segoe UI" w:hAnsi="Segoe UI" w:cs="Segoe UI" w:hint="default"/>
      <w:sz w:val="18"/>
      <w:szCs w:val="18"/>
    </w:rPr>
  </w:style>
  <w:style w:type="character" w:styleId="Emphasis">
    <w:name w:val="Emphasis"/>
    <w:basedOn w:val="DefaultParagraphFont"/>
    <w:uiPriority w:val="20"/>
    <w:qFormat/>
    <w:rsid w:val="00232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4964">
      <w:bodyDiv w:val="1"/>
      <w:marLeft w:val="0"/>
      <w:marRight w:val="0"/>
      <w:marTop w:val="0"/>
      <w:marBottom w:val="0"/>
      <w:divBdr>
        <w:top w:val="none" w:sz="0" w:space="0" w:color="auto"/>
        <w:left w:val="none" w:sz="0" w:space="0" w:color="auto"/>
        <w:bottom w:val="none" w:sz="0" w:space="0" w:color="auto"/>
        <w:right w:val="none" w:sz="0" w:space="0" w:color="auto"/>
      </w:divBdr>
    </w:div>
    <w:div w:id="395014298">
      <w:bodyDiv w:val="1"/>
      <w:marLeft w:val="0"/>
      <w:marRight w:val="0"/>
      <w:marTop w:val="0"/>
      <w:marBottom w:val="0"/>
      <w:divBdr>
        <w:top w:val="none" w:sz="0" w:space="0" w:color="auto"/>
        <w:left w:val="none" w:sz="0" w:space="0" w:color="auto"/>
        <w:bottom w:val="none" w:sz="0" w:space="0" w:color="auto"/>
        <w:right w:val="none" w:sz="0" w:space="0" w:color="auto"/>
      </w:divBdr>
      <w:divsChild>
        <w:div w:id="1507328935">
          <w:marLeft w:val="0"/>
          <w:marRight w:val="0"/>
          <w:marTop w:val="0"/>
          <w:marBottom w:val="0"/>
          <w:divBdr>
            <w:top w:val="none" w:sz="0" w:space="0" w:color="auto"/>
            <w:left w:val="none" w:sz="0" w:space="0" w:color="auto"/>
            <w:bottom w:val="none" w:sz="0" w:space="0" w:color="auto"/>
            <w:right w:val="none" w:sz="0" w:space="0" w:color="auto"/>
          </w:divBdr>
          <w:divsChild>
            <w:div w:id="1414205290">
              <w:marLeft w:val="0"/>
              <w:marRight w:val="0"/>
              <w:marTop w:val="0"/>
              <w:marBottom w:val="0"/>
              <w:divBdr>
                <w:top w:val="none" w:sz="0" w:space="0" w:color="auto"/>
                <w:left w:val="none" w:sz="0" w:space="0" w:color="auto"/>
                <w:bottom w:val="none" w:sz="0" w:space="0" w:color="auto"/>
                <w:right w:val="none" w:sz="0" w:space="0" w:color="auto"/>
              </w:divBdr>
              <w:divsChild>
                <w:div w:id="1772505562">
                  <w:marLeft w:val="0"/>
                  <w:marRight w:val="0"/>
                  <w:marTop w:val="0"/>
                  <w:marBottom w:val="0"/>
                  <w:divBdr>
                    <w:top w:val="none" w:sz="0" w:space="0" w:color="auto"/>
                    <w:left w:val="none" w:sz="0" w:space="0" w:color="auto"/>
                    <w:bottom w:val="none" w:sz="0" w:space="0" w:color="auto"/>
                    <w:right w:val="none" w:sz="0" w:space="0" w:color="auto"/>
                  </w:divBdr>
                  <w:divsChild>
                    <w:div w:id="2281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9823">
      <w:bodyDiv w:val="1"/>
      <w:marLeft w:val="0"/>
      <w:marRight w:val="0"/>
      <w:marTop w:val="0"/>
      <w:marBottom w:val="0"/>
      <w:divBdr>
        <w:top w:val="none" w:sz="0" w:space="0" w:color="auto"/>
        <w:left w:val="none" w:sz="0" w:space="0" w:color="auto"/>
        <w:bottom w:val="none" w:sz="0" w:space="0" w:color="auto"/>
        <w:right w:val="none" w:sz="0" w:space="0" w:color="auto"/>
      </w:divBdr>
      <w:divsChild>
        <w:div w:id="1955138939">
          <w:marLeft w:val="0"/>
          <w:marRight w:val="0"/>
          <w:marTop w:val="0"/>
          <w:marBottom w:val="0"/>
          <w:divBdr>
            <w:top w:val="none" w:sz="0" w:space="0" w:color="auto"/>
            <w:left w:val="none" w:sz="0" w:space="0" w:color="auto"/>
            <w:bottom w:val="none" w:sz="0" w:space="0" w:color="auto"/>
            <w:right w:val="none" w:sz="0" w:space="0" w:color="auto"/>
          </w:divBdr>
          <w:divsChild>
            <w:div w:id="554046118">
              <w:marLeft w:val="0"/>
              <w:marRight w:val="0"/>
              <w:marTop w:val="0"/>
              <w:marBottom w:val="0"/>
              <w:divBdr>
                <w:top w:val="none" w:sz="0" w:space="0" w:color="auto"/>
                <w:left w:val="none" w:sz="0" w:space="0" w:color="auto"/>
                <w:bottom w:val="none" w:sz="0" w:space="0" w:color="auto"/>
                <w:right w:val="none" w:sz="0" w:space="0" w:color="auto"/>
              </w:divBdr>
              <w:divsChild>
                <w:div w:id="1578056559">
                  <w:marLeft w:val="0"/>
                  <w:marRight w:val="0"/>
                  <w:marTop w:val="0"/>
                  <w:marBottom w:val="0"/>
                  <w:divBdr>
                    <w:top w:val="none" w:sz="0" w:space="0" w:color="auto"/>
                    <w:left w:val="none" w:sz="0" w:space="0" w:color="auto"/>
                    <w:bottom w:val="none" w:sz="0" w:space="0" w:color="auto"/>
                    <w:right w:val="none" w:sz="0" w:space="0" w:color="auto"/>
                  </w:divBdr>
                  <w:divsChild>
                    <w:div w:id="6359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1112">
      <w:bodyDiv w:val="1"/>
      <w:marLeft w:val="0"/>
      <w:marRight w:val="0"/>
      <w:marTop w:val="0"/>
      <w:marBottom w:val="0"/>
      <w:divBdr>
        <w:top w:val="none" w:sz="0" w:space="0" w:color="auto"/>
        <w:left w:val="none" w:sz="0" w:space="0" w:color="auto"/>
        <w:bottom w:val="none" w:sz="0" w:space="0" w:color="auto"/>
        <w:right w:val="none" w:sz="0" w:space="0" w:color="auto"/>
      </w:divBdr>
      <w:divsChild>
        <w:div w:id="1473524668">
          <w:marLeft w:val="0"/>
          <w:marRight w:val="0"/>
          <w:marTop w:val="0"/>
          <w:marBottom w:val="0"/>
          <w:divBdr>
            <w:top w:val="none" w:sz="0" w:space="0" w:color="auto"/>
            <w:left w:val="none" w:sz="0" w:space="0" w:color="auto"/>
            <w:bottom w:val="none" w:sz="0" w:space="0" w:color="auto"/>
            <w:right w:val="none" w:sz="0" w:space="0" w:color="auto"/>
          </w:divBdr>
        </w:div>
      </w:divsChild>
    </w:div>
    <w:div w:id="206290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ichmed-clinical.policystat.com/policy/7415063/latest/" TargetMode="External"/><Relationship Id="rId18" Type="http://schemas.openxmlformats.org/officeDocument/2006/relationships/hyperlink" Target="http://www.ecfr.gov/cgi-bin/retrieveECFR?gp=&amp;SID=16349f1e2bfb166ffd2aa2932b8262d8&amp;mc=true&amp;n=pt21.5.312&amp;r=PART&amp;ty=HTML" TargetMode="External"/><Relationship Id="rId26" Type="http://schemas.openxmlformats.org/officeDocument/2006/relationships/hyperlink" Target="http://www.accessdata.fda.gov/scripts/cdrh/cfdocs/cfcfr/CFRSearch.cfm?fr=312.61" TargetMode="External"/><Relationship Id="rId39" Type="http://schemas.openxmlformats.org/officeDocument/2006/relationships/hyperlink" Target="http://www.ecfr.gov/cgi-bin/retrieveECFR?gp=&amp;SID=22498ff22b4c67a9d8f3a0ee60c3a58d&amp;mc=true&amp;n=pt21.8.812&amp;r=PART&amp;ty=HTML" TargetMode="External"/><Relationship Id="rId21" Type="http://schemas.openxmlformats.org/officeDocument/2006/relationships/hyperlink" Target="http://www.ecfr.gov/cgi-bin/text-idx?SID=0095923a55b9a25c4ae656e596e0c6ad&amp;mc=true&amp;node=se21.5.312_157&amp;rgn=div8" TargetMode="External"/><Relationship Id="rId34" Type="http://schemas.openxmlformats.org/officeDocument/2006/relationships/hyperlink" Target="http://www.ecfr.gov/cgi-bin/retrieveECFR?gp=&amp;SID=22498ff22b4c67a9d8f3a0ee60c3a58d&amp;mc=true&amp;n=sp21.8.812.a&amp;r=SUBPART&amp;ty=HTML" TargetMode="External"/><Relationship Id="rId42" Type="http://schemas.openxmlformats.org/officeDocument/2006/relationships/hyperlink" Target="http://www.ich.org/" TargetMode="External"/><Relationship Id="rId47" Type="http://schemas.openxmlformats.org/officeDocument/2006/relationships/hyperlink" Target="https://michr.umich.edu/resources/indide-decision-worksheets?rq=worksheet" TargetMode="External"/><Relationship Id="rId50" Type="http://schemas.openxmlformats.org/officeDocument/2006/relationships/hyperlink" Target="http://ummcpharmweb.med.umich.edu/i/DepartmentSections/ResearchPharmacyService/tabid/78/Default.aspx"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cfr.gov/cgi-bin/retrieveECFR?gp=&amp;SID=16349f1e2bfb166ffd2aa2932b8262d8&amp;mc=true&amp;n=sp21.5.312.a&amp;r=SUBPART&amp;ty=HTML" TargetMode="External"/><Relationship Id="rId29" Type="http://schemas.openxmlformats.org/officeDocument/2006/relationships/hyperlink" Target="http://www.ecfr.gov/cgi-bin/retrieveECFR?gp=&amp;SID=22498ff22b4c67a9d8f3a0ee60c3a58d&amp;mc=true&amp;n=pt21.5.312&amp;r=PART&amp;ty=HTML" TargetMode="External"/><Relationship Id="rId11" Type="http://schemas.openxmlformats.org/officeDocument/2006/relationships/hyperlink" Target="https://michmed-clinical.policystat.com/policy/7415063/latest/" TargetMode="External"/><Relationship Id="rId24" Type="http://schemas.openxmlformats.org/officeDocument/2006/relationships/hyperlink" Target="http://www.accessdata.fda.gov/scripts/cdrh/cfdocs/cfcfr/CFRSearch.cfm?fr=312.59" TargetMode="External"/><Relationship Id="rId32" Type="http://schemas.openxmlformats.org/officeDocument/2006/relationships/hyperlink" Target="http://www.accessdata.fda.gov/scripts/cdrh/cfdocs/cfcfr/CFRSearch.cfm?fr=812.5" TargetMode="External"/><Relationship Id="rId37" Type="http://schemas.openxmlformats.org/officeDocument/2006/relationships/hyperlink" Target="http://www.ecfr.gov/cgi-bin/retrieveECFR?gp=&amp;SID=22498ff22b4c67a9d8f3a0ee60c3a58d&amp;mc=true&amp;n=pt21.8.812&amp;r=PART&amp;ty=HTML" TargetMode="External"/><Relationship Id="rId40" Type="http://schemas.openxmlformats.org/officeDocument/2006/relationships/hyperlink" Target="http://www.ecfr.gov/cgi-bin/retrieveECFR?gp=&amp;SID=22498ff22b4c67a9d8f3a0ee60c3a58d&amp;mc=true&amp;n=pt21.8.812&amp;r=PART&amp;ty=HTML" TargetMode="External"/><Relationship Id="rId45" Type="http://schemas.openxmlformats.org/officeDocument/2006/relationships/hyperlink" Target="https://michr.umich.edu/resources/indide-decision-worksheets?rq=worksheet" TargetMode="External"/><Relationship Id="rId53" Type="http://schemas.openxmlformats.org/officeDocument/2006/relationships/hyperlink" Target="https://pharmwebsp.med.umich.edu/SitePages/Policies.aspx" TargetMode="External"/><Relationship Id="rId5" Type="http://schemas.openxmlformats.org/officeDocument/2006/relationships/numbering" Target="numbering.xml"/><Relationship Id="rId19" Type="http://schemas.openxmlformats.org/officeDocument/2006/relationships/hyperlink" Target="http://www.ecfr.gov/cgi-bin/retrieveECFR?gp=&amp;SID=16349f1e2bfb166ffd2aa2932b8262d8&amp;mc=true&amp;n=pt21.5.312&amp;r=PART&amp;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cessdata.fda.gov/scripts/cdrh/cfdocs/cfcfr/CFRSearch.cfm?fr=312.57" TargetMode="External"/><Relationship Id="rId22" Type="http://schemas.openxmlformats.org/officeDocument/2006/relationships/hyperlink" Target="http://www.accessdata.fda.gov/scripts/cdrh/cfdocs/cfcfr/CFRSearch.cfm?fr=312.59" TargetMode="External"/><Relationship Id="rId27" Type="http://schemas.openxmlformats.org/officeDocument/2006/relationships/hyperlink" Target="http://www.ecfr.gov/cgi-bin/retrieveECFR?gp=&amp;SID=22498ff22b4c67a9d8f3a0ee60c3a58d&amp;mc=true&amp;n=pt21.5.312&amp;r=PART&amp;ty=HTML" TargetMode="External"/><Relationship Id="rId30" Type="http://schemas.openxmlformats.org/officeDocument/2006/relationships/hyperlink" Target="http://www.accessdata.fda.gov/scripts/cdrh/cfdocs/cfcfr/CFRSearch.cfm?fr=312.69" TargetMode="External"/><Relationship Id="rId35" Type="http://schemas.openxmlformats.org/officeDocument/2006/relationships/hyperlink" Target="http://www.ecfr.gov/cgi-bin/retrieveECFR?gp=&amp;SID=22498ff22b4c67a9d8f3a0ee60c3a58d&amp;mc=true&amp;n=pt21.8.812&amp;r=PART&amp;ty=HTML" TargetMode="External"/><Relationship Id="rId43" Type="http://schemas.openxmlformats.org/officeDocument/2006/relationships/hyperlink" Target="https://database.ich.org/sites/default/files/E6_R2_Addendum.pdf" TargetMode="External"/><Relationship Id="rId48" Type="http://schemas.openxmlformats.org/officeDocument/2006/relationships/hyperlink" Target="https://az.research.umich.edu/medschool/glossary/michr-indide-investigator-assistance-program-mia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harmwebsp.med.umich.edu/SitePages/Home.aspx" TargetMode="External"/><Relationship Id="rId3" Type="http://schemas.openxmlformats.org/officeDocument/2006/relationships/customXml" Target="../customXml/item3.xml"/><Relationship Id="rId12" Type="http://schemas.openxmlformats.org/officeDocument/2006/relationships/hyperlink" Target="https://research.medicine.umich.edu/office-research/institutional-review-boards-irbmed/guidance/glossary" TargetMode="External"/><Relationship Id="rId17" Type="http://schemas.openxmlformats.org/officeDocument/2006/relationships/hyperlink" Target="http://www.ecfr.gov/cgi-bin/retrieveECFR?gp=&amp;SID=16349f1e2bfb166ffd2aa2932b8262d8&amp;mc=true&amp;n=sp21.5.312.a&amp;r=SUBPART&amp;ty=HTML" TargetMode="External"/><Relationship Id="rId25" Type="http://schemas.openxmlformats.org/officeDocument/2006/relationships/hyperlink" Target="http://www.ecfr.gov/cgi-bin/retrieveECFR?gp=&amp;SID=22498ff22b4c67a9d8f3a0ee60c3a58d&amp;mc=true&amp;n=pt21.5.312&amp;r=PART&amp;ty=HTML" TargetMode="External"/><Relationship Id="rId33" Type="http://schemas.openxmlformats.org/officeDocument/2006/relationships/hyperlink" Target="http://www.ecfr.gov/cgi-bin/text-idx?SID=22498ff22b4c67a9d8f3a0ee60c3a58d&amp;mc=true&amp;node=se21.8.812_15&amp;rgn=div8" TargetMode="External"/><Relationship Id="rId38" Type="http://schemas.openxmlformats.org/officeDocument/2006/relationships/hyperlink" Target="http://www.ecfr.gov/cgi-bin/retrieveECFR?gp=&amp;SID=22498ff22b4c67a9d8f3a0ee60c3a58d&amp;mc=true&amp;n=pt21.8.812&amp;r=PART&amp;ty=HTML" TargetMode="External"/><Relationship Id="rId46" Type="http://schemas.openxmlformats.org/officeDocument/2006/relationships/hyperlink" Target="https://www.michr.umich.edu/Uploads/MIAPIDE%20Decision%20Worksheet_COMPLETE_FINAL_revd_9-09-2011.pdf" TargetMode="External"/><Relationship Id="rId20" Type="http://schemas.openxmlformats.org/officeDocument/2006/relationships/hyperlink" Target="http://www.accessdata.fda.gov/scripts/cdrh/cfdocs/cfcfr/CFRSearch.cfm?fr=312.57" TargetMode="External"/><Relationship Id="rId41" Type="http://schemas.openxmlformats.org/officeDocument/2006/relationships/hyperlink" Target="http://www.fda.gov/CombinationProducts/AboutCombinationProducts/ucm118332.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cfr.gov/cgi-bin/text-idx?SID=16349f1e2bfb166ffd2aa2932b8262d8&amp;mc=true&amp;node=se21.5.312_16&amp;rgn=div8" TargetMode="External"/><Relationship Id="rId23" Type="http://schemas.openxmlformats.org/officeDocument/2006/relationships/hyperlink" Target="http://www.ecfr.gov/cgi-bin/retrieveECFR?gp=&amp;SID=22498ff22b4c67a9d8f3a0ee60c3a58d&amp;mc=true&amp;n=pt21.5.312&amp;r=PART&amp;ty=HTML" TargetMode="External"/><Relationship Id="rId28" Type="http://schemas.openxmlformats.org/officeDocument/2006/relationships/hyperlink" Target="http://www.accessdata.fda.gov/scripts/cdrh/cfdocs/cfcfr/CFRSearch.cfm?fr=312.62" TargetMode="External"/><Relationship Id="rId36" Type="http://schemas.openxmlformats.org/officeDocument/2006/relationships/hyperlink" Target="http://www.ecfr.gov/cgi-bin/retrieveECFR?gp=&amp;SID=22498ff22b4c67a9d8f3a0ee60c3a58d&amp;mc=true&amp;n=pt21.8.812&amp;r=PART&amp;ty=HTML" TargetMode="External"/><Relationship Id="rId49" Type="http://schemas.openxmlformats.org/officeDocument/2006/relationships/hyperlink" Target="https://research-compliance.umich.edu/controlled-substances-research"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ecfr.gov/cgi-bin/retrieveECFR?gp=&amp;SID=22498ff22b4c67a9d8f3a0ee60c3a58d&amp;mc=true&amp;n=pt21.5.312&amp;r=PART&amp;ty=HTML" TargetMode="External"/><Relationship Id="rId44" Type="http://schemas.openxmlformats.org/officeDocument/2006/relationships/hyperlink" Target="https://www.michr.umich.edu/rdc/2016/4/22/indide-lifecycle-maintenance" TargetMode="External"/><Relationship Id="rId52" Type="http://schemas.openxmlformats.org/officeDocument/2006/relationships/hyperlink" Target="http://ummcpharmweb.med.umich.edu/i/DepartmentSections/ResearchPharmacyService/tabid/78/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B1404EC7BC0419CD7E75017E6AB63" ma:contentTypeVersion="1" ma:contentTypeDescription="Create a new document." ma:contentTypeScope="" ma:versionID="4b90923551de16da4e72c5a749a9e133">
  <xsd:schema xmlns:xsd="http://www.w3.org/2001/XMLSchema" xmlns:xs="http://www.w3.org/2001/XMLSchema" xmlns:p="http://schemas.microsoft.com/office/2006/metadata/properties" xmlns:ns2="9a14c067-2504-4fea-af45-7a353ba52eaa" targetNamespace="http://schemas.microsoft.com/office/2006/metadata/properties" ma:root="true" ma:fieldsID="69bb055b1ffa9d59552c2d628c66495a" ns2:_="">
    <xsd:import namespace="9a14c067-2504-4fea-af45-7a353ba52e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c067-2504-4fea-af45-7a353ba52e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C2169-E51C-4906-B186-573A5B01FF39}">
  <ds:schemaRefs>
    <ds:schemaRef ds:uri="http://schemas.microsoft.com/sharepoint/v3/contenttype/forms"/>
  </ds:schemaRefs>
</ds:datastoreItem>
</file>

<file path=customXml/itemProps2.xml><?xml version="1.0" encoding="utf-8"?>
<ds:datastoreItem xmlns:ds="http://schemas.openxmlformats.org/officeDocument/2006/customXml" ds:itemID="{CCF5E3BD-0722-4B6F-A1FD-BB02DDDC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4c067-2504-4fea-af45-7a353ba52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E8194-AAC6-6D42-B717-0521A19D3137}">
  <ds:schemaRefs>
    <ds:schemaRef ds:uri="http://schemas.openxmlformats.org/officeDocument/2006/bibliography"/>
  </ds:schemaRefs>
</ds:datastoreItem>
</file>

<file path=customXml/itemProps4.xml><?xml version="1.0" encoding="utf-8"?>
<ds:datastoreItem xmlns:ds="http://schemas.openxmlformats.org/officeDocument/2006/customXml" ds:itemID="{14F0533A-1C99-4AD1-BD71-A169261B2CBC}">
  <ds:schemaRef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a14c067-2504-4fea-af45-7a353ba52eaa"/>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Burhop, Sue</dc:creator>
  <cp:lastModifiedBy>Benedict-Blue, Monika</cp:lastModifiedBy>
  <cp:revision>18</cp:revision>
  <cp:lastPrinted>2016-08-03T14:43:00Z</cp:lastPrinted>
  <dcterms:created xsi:type="dcterms:W3CDTF">2022-11-04T12:46:00Z</dcterms:created>
  <dcterms:modified xsi:type="dcterms:W3CDTF">2022-11-04T12:59:00Z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0x010100B48B1404EC7BC0419CD7E75017E6AB63</vt:lpwstr>
  </property>
</Properties>
</file>