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443" w14:textId="53629319" w:rsidR="00A04CFA" w:rsidRDefault="00F018BE" w:rsidP="006B34A3">
      <w:pPr>
        <w:spacing w:after="0" w:line="240" w:lineRule="auto"/>
        <w:ind w:right="720"/>
        <w:rPr>
          <w:rFonts w:cs="Calibri"/>
          <w:b/>
          <w:bCs/>
          <w:i/>
          <w:sz w:val="28"/>
          <w:szCs w:val="28"/>
        </w:rPr>
      </w:pPr>
      <w:r>
        <w:rPr>
          <w:rFonts w:cs="Calibri"/>
          <w:b/>
          <w:bCs/>
          <w:i/>
          <w:sz w:val="28"/>
          <w:szCs w:val="28"/>
        </w:rPr>
        <w:t>Monitoring and Audit Visits</w:t>
      </w:r>
    </w:p>
    <w:p w14:paraId="17A14CAC" w14:textId="77777777" w:rsidR="00F85BE3" w:rsidRPr="00A04CFA" w:rsidRDefault="00F85BE3" w:rsidP="006B34A3">
      <w:pPr>
        <w:spacing w:after="0" w:line="240" w:lineRule="auto"/>
        <w:ind w:right="720"/>
        <w:rPr>
          <w:rFonts w:cs="Calibri"/>
          <w:b/>
          <w:bCs/>
          <w:sz w:val="28"/>
          <w:szCs w:val="28"/>
        </w:rPr>
      </w:pPr>
    </w:p>
    <w:p w14:paraId="67B1F632" w14:textId="77777777" w:rsidR="00695A12" w:rsidRDefault="00695A12" w:rsidP="006B34A3">
      <w:pPr>
        <w:pStyle w:val="ListParagraph"/>
        <w:numPr>
          <w:ilvl w:val="0"/>
          <w:numId w:val="1"/>
        </w:numPr>
        <w:spacing w:after="0"/>
        <w:ind w:right="720"/>
        <w:rPr>
          <w:b/>
        </w:rPr>
      </w:pPr>
      <w:r w:rsidRPr="00695A12">
        <w:rPr>
          <w:b/>
        </w:rPr>
        <w:t>PURPOSE</w:t>
      </w:r>
    </w:p>
    <w:p w14:paraId="13454079" w14:textId="77777777" w:rsidR="00E00FEC" w:rsidRPr="00834ECB" w:rsidRDefault="00E00FEC" w:rsidP="00834ECB">
      <w:pPr>
        <w:spacing w:after="0"/>
        <w:ind w:right="720"/>
        <w:rPr>
          <w:b/>
        </w:rPr>
      </w:pPr>
    </w:p>
    <w:p w14:paraId="2FD5886A" w14:textId="66A200A6" w:rsidR="0068691D" w:rsidRDefault="00D45258" w:rsidP="00931998">
      <w:pPr>
        <w:spacing w:after="0" w:line="240" w:lineRule="auto"/>
        <w:ind w:left="360" w:right="936"/>
        <w:rPr>
          <w:rFonts w:cs="Calibri"/>
        </w:rPr>
      </w:pPr>
      <w:r w:rsidRPr="001C50F2">
        <w:rPr>
          <w:rFonts w:ascii="Calibri" w:eastAsia="Calibri" w:hAnsi="Calibri" w:cs="Calibri"/>
          <w:spacing w:val="-1"/>
        </w:rPr>
        <w:t xml:space="preserve">This Standard </w:t>
      </w:r>
      <w:r w:rsidR="00737EFC">
        <w:rPr>
          <w:rFonts w:ascii="Calibri" w:eastAsia="Calibri" w:hAnsi="Calibri" w:cs="Calibri"/>
          <w:spacing w:val="-1"/>
        </w:rPr>
        <w:t>-</w:t>
      </w:r>
      <w:r w:rsidR="00737EFC" w:rsidRPr="00737EFC">
        <w:rPr>
          <w:rFonts w:cs="Calibri"/>
        </w:rPr>
        <w:t xml:space="preserve"> </w:t>
      </w:r>
      <w:r w:rsidR="00737EFC">
        <w:rPr>
          <w:rFonts w:cs="Calibri"/>
        </w:rPr>
        <w:t>Practice Guideline (SPG)</w:t>
      </w:r>
      <w:r w:rsidRPr="001C50F2">
        <w:rPr>
          <w:rFonts w:ascii="Calibri" w:eastAsia="Calibri" w:hAnsi="Calibri" w:cs="Calibri"/>
          <w:spacing w:val="-1"/>
        </w:rPr>
        <w:t xml:space="preserve"> describes the procedures, processes, and responsibilities</w:t>
      </w:r>
      <w:r>
        <w:rPr>
          <w:rFonts w:ascii="Calibri" w:eastAsia="Calibri" w:hAnsi="Calibri" w:cs="Calibri"/>
          <w:spacing w:val="-1"/>
        </w:rPr>
        <w:t xml:space="preserve"> </w:t>
      </w:r>
      <w:r w:rsidR="00013F32">
        <w:rPr>
          <w:rFonts w:cs="Calibri"/>
        </w:rPr>
        <w:t>of research</w:t>
      </w:r>
      <w:r w:rsidR="00F018BE">
        <w:rPr>
          <w:rFonts w:cs="Calibri"/>
        </w:rPr>
        <w:t xml:space="preserve"> team members</w:t>
      </w:r>
      <w:r w:rsidR="00E13643">
        <w:rPr>
          <w:rFonts w:cs="Calibri"/>
        </w:rPr>
        <w:t xml:space="preserve"> who</w:t>
      </w:r>
      <w:r w:rsidR="00F018BE">
        <w:rPr>
          <w:rFonts w:cs="Calibri"/>
        </w:rPr>
        <w:t xml:space="preserve"> </w:t>
      </w:r>
      <w:r w:rsidR="00E13643">
        <w:rPr>
          <w:rFonts w:cs="Calibri"/>
        </w:rPr>
        <w:t xml:space="preserve">coordinate </w:t>
      </w:r>
      <w:r w:rsidR="00CF0A00">
        <w:rPr>
          <w:rFonts w:cs="Calibri"/>
        </w:rPr>
        <w:t xml:space="preserve">the clinical trial </w:t>
      </w:r>
      <w:r w:rsidR="003300F3">
        <w:rPr>
          <w:rFonts w:cs="Calibri"/>
        </w:rPr>
        <w:t>site monitoring and audit visits.</w:t>
      </w:r>
      <w:r w:rsidR="004F1783">
        <w:rPr>
          <w:rFonts w:cs="Calibri"/>
        </w:rPr>
        <w:t xml:space="preserve"> </w:t>
      </w:r>
    </w:p>
    <w:p w14:paraId="63294B85" w14:textId="77777777" w:rsidR="0068691D" w:rsidRDefault="0068691D" w:rsidP="00931998">
      <w:pPr>
        <w:spacing w:after="0" w:line="240" w:lineRule="auto"/>
        <w:ind w:left="360" w:right="936"/>
        <w:rPr>
          <w:rFonts w:cs="Calibri"/>
        </w:rPr>
      </w:pPr>
    </w:p>
    <w:p w14:paraId="424328E0" w14:textId="2D522FE7" w:rsidR="0068691D" w:rsidRDefault="004F1783" w:rsidP="00931998">
      <w:pPr>
        <w:spacing w:after="0" w:line="240" w:lineRule="auto"/>
        <w:ind w:left="360" w:right="936"/>
        <w:rPr>
          <w:rFonts w:cs="Calibri"/>
          <w:spacing w:val="-4"/>
        </w:rPr>
      </w:pPr>
      <w:r w:rsidRPr="000E0B42">
        <w:rPr>
          <w:rFonts w:cs="Calibri"/>
          <w:spacing w:val="-4"/>
        </w:rPr>
        <w:t>University of Michigan research oversight entities may audit clinical trials at any time over the course of the trial. The nature of the audit may be ‘for cause’ or ‘not for cause</w:t>
      </w:r>
      <w:r w:rsidR="00952888" w:rsidRPr="000E0B42">
        <w:rPr>
          <w:rFonts w:cs="Calibri"/>
          <w:spacing w:val="-4"/>
        </w:rPr>
        <w:t>.’</w:t>
      </w:r>
      <w:r w:rsidRPr="000E0B42">
        <w:rPr>
          <w:rFonts w:cs="Calibri"/>
          <w:spacing w:val="-4"/>
        </w:rPr>
        <w:t xml:space="preserve"> </w:t>
      </w:r>
      <w:r>
        <w:rPr>
          <w:rFonts w:cs="Calibri"/>
          <w:spacing w:val="-4"/>
        </w:rPr>
        <w:t>External entities such as f</w:t>
      </w:r>
      <w:r w:rsidRPr="000E0B42">
        <w:rPr>
          <w:rFonts w:cs="Calibri"/>
          <w:spacing w:val="-4"/>
        </w:rPr>
        <w:t xml:space="preserve">unding agencies, sponsors, and the FDA may also audit clinical trials at any given time. </w:t>
      </w:r>
    </w:p>
    <w:p w14:paraId="4F5BD614" w14:textId="77777777" w:rsidR="0068691D" w:rsidRDefault="0068691D" w:rsidP="00931998">
      <w:pPr>
        <w:spacing w:after="0" w:line="240" w:lineRule="auto"/>
        <w:ind w:left="360" w:right="936"/>
        <w:rPr>
          <w:rFonts w:cs="Calibri"/>
          <w:spacing w:val="-4"/>
        </w:rPr>
      </w:pPr>
    </w:p>
    <w:p w14:paraId="7BDE094E" w14:textId="2583E102" w:rsidR="006C061E" w:rsidRDefault="004F1783" w:rsidP="00931998">
      <w:pPr>
        <w:spacing w:after="0" w:line="240" w:lineRule="auto"/>
        <w:ind w:left="360" w:right="936"/>
        <w:rPr>
          <w:rFonts w:cs="Calibri"/>
          <w:spacing w:val="-4"/>
        </w:rPr>
      </w:pPr>
      <w:r w:rsidRPr="000E0B42">
        <w:rPr>
          <w:rFonts w:cs="Calibri"/>
          <w:spacing w:val="-4"/>
        </w:rPr>
        <w:t>Trial documentation and quality control processes, including monitoring, must be maintained to ensure compliance with the protocol and regulatory authorities is evident in the event of an audit.</w:t>
      </w:r>
      <w:r w:rsidR="00931998">
        <w:rPr>
          <w:rFonts w:cs="Calibri"/>
          <w:spacing w:val="-4"/>
        </w:rPr>
        <w:t xml:space="preserve"> </w:t>
      </w:r>
    </w:p>
    <w:p w14:paraId="59CF79B1" w14:textId="1017EEDF" w:rsidR="00931998" w:rsidRPr="00CD4DCF" w:rsidRDefault="00931998" w:rsidP="00931998">
      <w:pPr>
        <w:spacing w:after="0" w:line="240" w:lineRule="auto"/>
        <w:ind w:left="360" w:right="936"/>
        <w:rPr>
          <w:rFonts w:ascii="Calibri" w:eastAsia="Calibri" w:hAnsi="Calibri" w:cs="Calibri"/>
        </w:rPr>
      </w:pPr>
      <w:r w:rsidRPr="00CD4DCF">
        <w:rPr>
          <w:rFonts w:cs="Arial"/>
        </w:rPr>
        <w:t>(</w:t>
      </w:r>
      <w:r w:rsidRPr="00CD4DCF">
        <w:rPr>
          <w:rFonts w:cs="Arial"/>
          <w:b/>
        </w:rPr>
        <w:t>MANDATORY LANGUAGE</w:t>
      </w:r>
      <w:r w:rsidRPr="00CD4DCF">
        <w:rPr>
          <w:rFonts w:cs="Arial"/>
        </w:rPr>
        <w:t>)</w:t>
      </w:r>
    </w:p>
    <w:p w14:paraId="73D586E4" w14:textId="02AA496D" w:rsidR="00613067" w:rsidRDefault="00613067" w:rsidP="006B34A3">
      <w:pPr>
        <w:widowControl w:val="0"/>
        <w:autoSpaceDE w:val="0"/>
        <w:autoSpaceDN w:val="0"/>
        <w:adjustRightInd w:val="0"/>
        <w:spacing w:after="0" w:line="240" w:lineRule="auto"/>
        <w:ind w:left="360" w:right="720"/>
        <w:rPr>
          <w:rFonts w:cs="Calibri"/>
        </w:rPr>
      </w:pPr>
    </w:p>
    <w:p w14:paraId="36B197D1" w14:textId="77777777" w:rsidR="00E00FEC" w:rsidRDefault="00695A12" w:rsidP="006B34A3">
      <w:pPr>
        <w:pStyle w:val="ListParagraph"/>
        <w:numPr>
          <w:ilvl w:val="0"/>
          <w:numId w:val="1"/>
        </w:numPr>
        <w:spacing w:after="0"/>
        <w:ind w:right="720"/>
        <w:rPr>
          <w:b/>
        </w:rPr>
      </w:pPr>
      <w:r w:rsidRPr="00695A12">
        <w:rPr>
          <w:b/>
        </w:rPr>
        <w:t>SCOPE</w:t>
      </w:r>
    </w:p>
    <w:p w14:paraId="67B1F634" w14:textId="417FB909" w:rsidR="00695A12" w:rsidRPr="00695A12" w:rsidRDefault="00695A12" w:rsidP="00834ECB">
      <w:pPr>
        <w:pStyle w:val="ListParagraph"/>
        <w:spacing w:after="0"/>
        <w:ind w:left="360" w:right="720"/>
        <w:rPr>
          <w:b/>
        </w:rPr>
      </w:pPr>
    </w:p>
    <w:p w14:paraId="00A3FBF2" w14:textId="21097B61" w:rsidR="004F5DCD" w:rsidRDefault="00613067" w:rsidP="00931998">
      <w:pPr>
        <w:spacing w:after="0" w:line="240" w:lineRule="auto"/>
        <w:ind w:left="360" w:right="936"/>
        <w:rPr>
          <w:rFonts w:cs="Calibri"/>
        </w:rPr>
      </w:pPr>
      <w:r>
        <w:rPr>
          <w:rFonts w:cs="Calibri"/>
        </w:rPr>
        <w:t>This</w:t>
      </w:r>
      <w:r>
        <w:rPr>
          <w:rFonts w:cs="Calibri"/>
          <w:spacing w:val="-3"/>
        </w:rPr>
        <w:t xml:space="preserve"> </w:t>
      </w:r>
      <w:r>
        <w:rPr>
          <w:rFonts w:cs="Calibri"/>
        </w:rPr>
        <w:t xml:space="preserve">Standard </w:t>
      </w:r>
      <w:r w:rsidR="00737EFC">
        <w:rPr>
          <w:rFonts w:cs="Calibri"/>
        </w:rPr>
        <w:t>Practice Guideline (SPG)</w:t>
      </w:r>
      <w:r>
        <w:rPr>
          <w:rFonts w:cs="Calibri"/>
          <w:spacing w:val="-3"/>
        </w:rPr>
        <w:t xml:space="preserve"> </w:t>
      </w:r>
      <w:r>
        <w:rPr>
          <w:rFonts w:cs="Calibri"/>
        </w:rPr>
        <w:t>applies</w:t>
      </w:r>
      <w:r>
        <w:rPr>
          <w:rFonts w:cs="Calibri"/>
          <w:spacing w:val="-6"/>
        </w:rPr>
        <w:t xml:space="preserve"> </w:t>
      </w:r>
      <w:r>
        <w:rPr>
          <w:rFonts w:cs="Calibri"/>
        </w:rPr>
        <w:t>to</w:t>
      </w:r>
      <w:r>
        <w:rPr>
          <w:rFonts w:cs="Calibri"/>
          <w:spacing w:val="-2"/>
        </w:rPr>
        <w:t xml:space="preserve"> </w:t>
      </w:r>
      <w:r w:rsidR="003300F3">
        <w:rPr>
          <w:rFonts w:cs="Calibri"/>
        </w:rPr>
        <w:t>all members of the</w:t>
      </w:r>
      <w:r w:rsidR="00013F32">
        <w:rPr>
          <w:rFonts w:cs="Calibri"/>
        </w:rPr>
        <w:t xml:space="preserve"> research</w:t>
      </w:r>
      <w:r w:rsidR="003300F3">
        <w:rPr>
          <w:rFonts w:cs="Calibri"/>
        </w:rPr>
        <w:t xml:space="preserve"> team involved with monitoring and audit visits. This includes tasks involving </w:t>
      </w:r>
      <w:r w:rsidR="00405DEF">
        <w:rPr>
          <w:rFonts w:cs="Calibri"/>
        </w:rPr>
        <w:t xml:space="preserve">the </w:t>
      </w:r>
      <w:r w:rsidR="003300F3">
        <w:rPr>
          <w:rFonts w:cs="Calibri"/>
        </w:rPr>
        <w:t>preparatio</w:t>
      </w:r>
      <w:r w:rsidR="00405DEF">
        <w:rPr>
          <w:rFonts w:cs="Calibri"/>
        </w:rPr>
        <w:t>n, attendance,</w:t>
      </w:r>
      <w:r w:rsidR="00E13643">
        <w:rPr>
          <w:rFonts w:cs="Calibri"/>
        </w:rPr>
        <w:t xml:space="preserve"> documentation, </w:t>
      </w:r>
      <w:r w:rsidR="003300F3">
        <w:rPr>
          <w:rFonts w:cs="Calibri"/>
        </w:rPr>
        <w:t>and follow-up f</w:t>
      </w:r>
      <w:r w:rsidR="00405DEF">
        <w:rPr>
          <w:rFonts w:cs="Calibri"/>
        </w:rPr>
        <w:t>or</w:t>
      </w:r>
      <w:r w:rsidR="00D1286C">
        <w:rPr>
          <w:rFonts w:cs="Calibri"/>
        </w:rPr>
        <w:t xml:space="preserve"> the visit.</w:t>
      </w:r>
      <w:r w:rsidR="000370C5">
        <w:rPr>
          <w:rFonts w:cs="Calibri"/>
        </w:rPr>
        <w:t xml:space="preserve"> </w:t>
      </w:r>
      <w:r w:rsidR="000E6B1C">
        <w:t xml:space="preserve">NIH monitoring requirements, </w:t>
      </w:r>
      <w:r w:rsidR="004F5DCD">
        <w:rPr>
          <w:rFonts w:cs="Calibri"/>
        </w:rPr>
        <w:t xml:space="preserve">FDA </w:t>
      </w:r>
      <w:r w:rsidR="00E61A84">
        <w:rPr>
          <w:rFonts w:cs="Calibri"/>
        </w:rPr>
        <w:t>inspections and</w:t>
      </w:r>
      <w:r w:rsidR="00814C62">
        <w:rPr>
          <w:rFonts w:cs="Calibri"/>
        </w:rPr>
        <w:t xml:space="preserve"> </w:t>
      </w:r>
      <w:r w:rsidR="000E6B1C">
        <w:rPr>
          <w:rFonts w:cs="Calibri"/>
        </w:rPr>
        <w:t xml:space="preserve">FDA </w:t>
      </w:r>
      <w:r w:rsidR="00814C62">
        <w:rPr>
          <w:rFonts w:cs="Calibri"/>
        </w:rPr>
        <w:t>v</w:t>
      </w:r>
      <w:r w:rsidR="004F5DCD">
        <w:rPr>
          <w:rFonts w:cs="Calibri"/>
        </w:rPr>
        <w:t xml:space="preserve">isits are out of scope for this SOP. </w:t>
      </w:r>
    </w:p>
    <w:p w14:paraId="077C63C2" w14:textId="2E052C63" w:rsidR="00931998" w:rsidRPr="00CD4DCF" w:rsidRDefault="00931998" w:rsidP="00931998">
      <w:pPr>
        <w:spacing w:after="0" w:line="240" w:lineRule="auto"/>
        <w:ind w:left="360" w:right="936"/>
        <w:rPr>
          <w:rFonts w:ascii="Calibri" w:eastAsia="Calibri" w:hAnsi="Calibri" w:cs="Calibri"/>
        </w:rPr>
      </w:pPr>
      <w:r w:rsidRPr="00CD4DCF">
        <w:rPr>
          <w:rFonts w:cs="Arial"/>
        </w:rPr>
        <w:t>(</w:t>
      </w:r>
      <w:r w:rsidRPr="00CD4DCF">
        <w:rPr>
          <w:rFonts w:cs="Arial"/>
          <w:b/>
        </w:rPr>
        <w:t>MANDATORY LANGUAGE</w:t>
      </w:r>
      <w:r w:rsidRPr="00CD4DCF">
        <w:rPr>
          <w:rFonts w:cs="Arial"/>
        </w:rPr>
        <w:t>)</w:t>
      </w:r>
    </w:p>
    <w:p w14:paraId="4F5AA3F1" w14:textId="43C0286D" w:rsidR="00613067" w:rsidRDefault="00613067" w:rsidP="00FD51B6">
      <w:pPr>
        <w:widowControl w:val="0"/>
        <w:autoSpaceDE w:val="0"/>
        <w:autoSpaceDN w:val="0"/>
        <w:adjustRightInd w:val="0"/>
        <w:spacing w:after="0" w:line="240" w:lineRule="auto"/>
        <w:ind w:right="720"/>
        <w:rPr>
          <w:rFonts w:cs="Calibri"/>
        </w:rPr>
      </w:pPr>
    </w:p>
    <w:p w14:paraId="697CB7DB" w14:textId="77777777" w:rsidR="0066036C" w:rsidRPr="00CD079E" w:rsidRDefault="0066036C" w:rsidP="0066036C">
      <w:pPr>
        <w:widowControl w:val="0"/>
        <w:autoSpaceDE w:val="0"/>
        <w:autoSpaceDN w:val="0"/>
        <w:adjustRightInd w:val="0"/>
        <w:spacing w:after="0" w:line="240" w:lineRule="auto"/>
        <w:ind w:left="360" w:right="720"/>
        <w:rPr>
          <w:rFonts w:cs="Calibri"/>
          <w:i/>
          <w:color w:val="00B0F0"/>
        </w:rPr>
      </w:pPr>
      <w:r>
        <w:rPr>
          <w:rFonts w:cs="Calibri"/>
          <w:i/>
          <w:color w:val="00B0F0"/>
        </w:rPr>
        <w:t>[Optional: Insert any additional details necessary to further define the scope of this SOP.</w:t>
      </w:r>
      <w:r w:rsidRPr="00CD079E">
        <w:rPr>
          <w:rFonts w:cs="Calibri"/>
          <w:i/>
          <w:color w:val="00B0F0"/>
        </w:rPr>
        <w:t>]</w:t>
      </w:r>
    </w:p>
    <w:p w14:paraId="54660939" w14:textId="77777777" w:rsidR="0066036C" w:rsidRDefault="0066036C" w:rsidP="006B34A3">
      <w:pPr>
        <w:widowControl w:val="0"/>
        <w:autoSpaceDE w:val="0"/>
        <w:autoSpaceDN w:val="0"/>
        <w:adjustRightInd w:val="0"/>
        <w:spacing w:after="0" w:line="240" w:lineRule="auto"/>
        <w:ind w:left="360" w:right="720"/>
        <w:rPr>
          <w:rFonts w:cs="Calibri"/>
        </w:rPr>
      </w:pPr>
    </w:p>
    <w:p w14:paraId="67B1F636" w14:textId="77777777" w:rsidR="00695A12" w:rsidRPr="00834ECB" w:rsidRDefault="00695A12" w:rsidP="00834ECB">
      <w:pPr>
        <w:pStyle w:val="ListParagraph"/>
        <w:numPr>
          <w:ilvl w:val="0"/>
          <w:numId w:val="1"/>
        </w:numPr>
        <w:spacing w:after="0"/>
        <w:ind w:right="720"/>
        <w:rPr>
          <w:b/>
        </w:rPr>
      </w:pPr>
      <w:r w:rsidRPr="00834ECB">
        <w:rPr>
          <w:b/>
        </w:rPr>
        <w:t>POLICY</w:t>
      </w:r>
    </w:p>
    <w:p w14:paraId="3FBEBC29" w14:textId="77777777" w:rsidR="00E00FEC" w:rsidRPr="00695A12" w:rsidRDefault="00E00FEC" w:rsidP="00834ECB">
      <w:pPr>
        <w:pStyle w:val="ListParagraph"/>
        <w:spacing w:after="0"/>
        <w:ind w:left="360" w:right="720"/>
        <w:rPr>
          <w:b/>
        </w:rPr>
      </w:pPr>
    </w:p>
    <w:p w14:paraId="40263344" w14:textId="77777777" w:rsidR="00614C25" w:rsidRDefault="00614C25" w:rsidP="00614C25">
      <w:pPr>
        <w:spacing w:after="0" w:line="240" w:lineRule="auto"/>
        <w:ind w:left="360" w:right="-20"/>
        <w:rPr>
          <w:rFonts w:cs="Calibri"/>
          <w:b/>
        </w:rPr>
      </w:pPr>
      <w:r w:rsidRPr="00942DB9">
        <w:rPr>
          <w:rFonts w:cs="Calibri"/>
          <w:b/>
        </w:rPr>
        <w:t xml:space="preserve">Good </w:t>
      </w:r>
      <w:r w:rsidRPr="00AF72B3">
        <w:rPr>
          <w:rFonts w:cs="Calibri"/>
          <w:b/>
        </w:rPr>
        <w:t>Clinical Practi</w:t>
      </w:r>
      <w:r>
        <w:rPr>
          <w:rFonts w:cs="Calibri"/>
          <w:b/>
        </w:rPr>
        <w:t>c</w:t>
      </w:r>
      <w:r w:rsidRPr="00942DB9">
        <w:rPr>
          <w:rFonts w:cs="Calibri"/>
          <w:b/>
        </w:rPr>
        <w:t>e (</w:t>
      </w:r>
      <w:r>
        <w:rPr>
          <w:rFonts w:cs="Calibri"/>
          <w:b/>
        </w:rPr>
        <w:t xml:space="preserve">ICH </w:t>
      </w:r>
      <w:r w:rsidRPr="00942DB9">
        <w:rPr>
          <w:rFonts w:cs="Calibri"/>
          <w:b/>
        </w:rPr>
        <w:t>GCP)</w:t>
      </w:r>
    </w:p>
    <w:p w14:paraId="148992D2" w14:textId="77777777" w:rsidR="00614C25" w:rsidRDefault="00614C25" w:rsidP="006B34A3">
      <w:pPr>
        <w:widowControl w:val="0"/>
        <w:autoSpaceDE w:val="0"/>
        <w:autoSpaceDN w:val="0"/>
        <w:adjustRightInd w:val="0"/>
        <w:spacing w:after="0" w:line="239" w:lineRule="auto"/>
        <w:ind w:left="360" w:right="720"/>
        <w:rPr>
          <w:rFonts w:cs="Calibri"/>
        </w:rPr>
      </w:pPr>
    </w:p>
    <w:p w14:paraId="0C7100A9" w14:textId="6E91280C" w:rsidR="0068691D" w:rsidRDefault="0066036C" w:rsidP="006B34A3">
      <w:pPr>
        <w:widowControl w:val="0"/>
        <w:autoSpaceDE w:val="0"/>
        <w:autoSpaceDN w:val="0"/>
        <w:adjustRightInd w:val="0"/>
        <w:spacing w:after="0" w:line="239" w:lineRule="auto"/>
        <w:ind w:left="360" w:right="720"/>
        <w:rPr>
          <w:rFonts w:cs="Calibri"/>
        </w:rPr>
      </w:pPr>
      <w:r w:rsidRPr="001C50F2">
        <w:rPr>
          <w:rFonts w:cs="Calibri"/>
        </w:rPr>
        <w:t xml:space="preserve">This Standard </w:t>
      </w:r>
      <w:r w:rsidR="0068691D">
        <w:rPr>
          <w:rFonts w:cs="Calibri"/>
        </w:rPr>
        <w:t xml:space="preserve">Practice Guideline </w:t>
      </w:r>
      <w:r w:rsidRPr="001C50F2">
        <w:rPr>
          <w:rFonts w:cs="Calibri"/>
        </w:rPr>
        <w:t>supports the Good Clinical Practices</w:t>
      </w:r>
      <w:r>
        <w:rPr>
          <w:rFonts w:cs="Calibri"/>
        </w:rPr>
        <w:t xml:space="preserve"> (</w:t>
      </w:r>
      <w:r w:rsidR="00614C25">
        <w:rPr>
          <w:rFonts w:cs="Calibri"/>
        </w:rPr>
        <w:t xml:space="preserve">ICH </w:t>
      </w:r>
      <w:r>
        <w:rPr>
          <w:rFonts w:cs="Calibri"/>
        </w:rPr>
        <w:t>GCP)</w:t>
      </w:r>
      <w:r w:rsidRPr="001C50F2">
        <w:rPr>
          <w:rFonts w:cs="Calibri"/>
        </w:rPr>
        <w:t xml:space="preserve"> guidelines</w:t>
      </w:r>
      <w:r>
        <w:rPr>
          <w:rFonts w:cs="Calibri"/>
        </w:rPr>
        <w:t xml:space="preserve"> </w:t>
      </w:r>
      <w:r w:rsidRPr="001C50F2">
        <w:rPr>
          <w:rFonts w:cs="Calibri"/>
        </w:rPr>
        <w:t>established by the International Co</w:t>
      </w:r>
      <w:r w:rsidR="00126E18">
        <w:rPr>
          <w:rFonts w:cs="Calibri"/>
        </w:rPr>
        <w:t>uncil</w:t>
      </w:r>
      <w:r w:rsidR="00F85BE3">
        <w:rPr>
          <w:rFonts w:cs="Calibri"/>
        </w:rPr>
        <w:t xml:space="preserve"> on Harmonization (ICH).</w:t>
      </w:r>
      <w:r w:rsidR="00D1286C">
        <w:rPr>
          <w:rFonts w:cs="Calibri"/>
        </w:rPr>
        <w:t xml:space="preserve"> </w:t>
      </w:r>
    </w:p>
    <w:p w14:paraId="506FF59A" w14:textId="77777777" w:rsidR="0068691D" w:rsidRDefault="0068691D" w:rsidP="006B34A3">
      <w:pPr>
        <w:widowControl w:val="0"/>
        <w:autoSpaceDE w:val="0"/>
        <w:autoSpaceDN w:val="0"/>
        <w:adjustRightInd w:val="0"/>
        <w:spacing w:after="0" w:line="239" w:lineRule="auto"/>
        <w:ind w:left="360" w:right="720"/>
        <w:rPr>
          <w:rFonts w:cs="Calibri"/>
        </w:rPr>
      </w:pPr>
    </w:p>
    <w:p w14:paraId="76F7BD19" w14:textId="66331315" w:rsidR="00613067" w:rsidRPr="00FC6194" w:rsidRDefault="0066036C" w:rsidP="006B34A3">
      <w:pPr>
        <w:widowControl w:val="0"/>
        <w:autoSpaceDE w:val="0"/>
        <w:autoSpaceDN w:val="0"/>
        <w:adjustRightInd w:val="0"/>
        <w:spacing w:after="0" w:line="239" w:lineRule="auto"/>
        <w:ind w:left="360" w:right="720"/>
        <w:rPr>
          <w:rFonts w:cs="Calibri"/>
          <w:i/>
          <w:spacing w:val="-4"/>
        </w:rPr>
      </w:pPr>
      <w:r>
        <w:rPr>
          <w:rFonts w:cs="Calibri"/>
          <w:spacing w:val="-4"/>
        </w:rPr>
        <w:lastRenderedPageBreak/>
        <w:t>Section</w:t>
      </w:r>
      <w:r w:rsidR="00FC6194">
        <w:rPr>
          <w:rFonts w:cs="Calibri"/>
          <w:spacing w:val="-4"/>
        </w:rPr>
        <w:t xml:space="preserve"> 5.18</w:t>
      </w:r>
      <w:r w:rsidR="00252494">
        <w:rPr>
          <w:rFonts w:cs="Calibri"/>
          <w:spacing w:val="-4"/>
        </w:rPr>
        <w:t>.1</w:t>
      </w:r>
      <w:r w:rsidR="00FC6194">
        <w:rPr>
          <w:rFonts w:cs="Calibri"/>
          <w:spacing w:val="-4"/>
        </w:rPr>
        <w:t xml:space="preserve"> clarifies the purposes of trial monitoring, which are to </w:t>
      </w:r>
      <w:r w:rsidR="00FC6194" w:rsidRPr="00FC6194">
        <w:rPr>
          <w:rFonts w:cs="Calibri"/>
          <w:i/>
          <w:spacing w:val="-4"/>
        </w:rPr>
        <w:t>verify that: a) the rights and well-being of human subjects are protected; b) the reported</w:t>
      </w:r>
      <w:r w:rsidR="00F018BE">
        <w:rPr>
          <w:rFonts w:cs="Calibri"/>
          <w:i/>
          <w:spacing w:val="-4"/>
        </w:rPr>
        <w:t xml:space="preserve"> </w:t>
      </w:r>
      <w:r w:rsidR="00FC6194" w:rsidRPr="00FC6194">
        <w:rPr>
          <w:rFonts w:cs="Calibri"/>
          <w:i/>
          <w:spacing w:val="-4"/>
        </w:rPr>
        <w:t>trial data are accurate, complete and verifiable from source documents; and c) the conduct of the trial is in compliance with the currently approved protocol/amendment(s), with GCP, and with the applicable regulatory requirement(s).</w:t>
      </w:r>
    </w:p>
    <w:p w14:paraId="2989F898" w14:textId="77777777" w:rsidR="00FC6194" w:rsidRDefault="00FC6194" w:rsidP="006B34A3">
      <w:pPr>
        <w:widowControl w:val="0"/>
        <w:autoSpaceDE w:val="0"/>
        <w:autoSpaceDN w:val="0"/>
        <w:adjustRightInd w:val="0"/>
        <w:spacing w:after="0" w:line="239" w:lineRule="auto"/>
        <w:ind w:left="360" w:right="720"/>
        <w:rPr>
          <w:rFonts w:cs="Calibri"/>
          <w:spacing w:val="-4"/>
        </w:rPr>
      </w:pPr>
    </w:p>
    <w:p w14:paraId="726C718A" w14:textId="5BDFA4DA" w:rsidR="00D95CB2" w:rsidRDefault="00D95CB2" w:rsidP="006B34A3">
      <w:pPr>
        <w:widowControl w:val="0"/>
        <w:autoSpaceDE w:val="0"/>
        <w:autoSpaceDN w:val="0"/>
        <w:adjustRightInd w:val="0"/>
        <w:spacing w:after="0" w:line="239" w:lineRule="auto"/>
        <w:ind w:left="360" w:right="720"/>
        <w:rPr>
          <w:rFonts w:cs="Calibri"/>
          <w:spacing w:val="-4"/>
        </w:rPr>
      </w:pPr>
      <w:r>
        <w:rPr>
          <w:rFonts w:cs="Calibri"/>
          <w:spacing w:val="-4"/>
        </w:rPr>
        <w:t xml:space="preserve">Furthermore, </w:t>
      </w:r>
      <w:r w:rsidR="000E0B42">
        <w:rPr>
          <w:rFonts w:cs="Calibri"/>
          <w:spacing w:val="-4"/>
        </w:rPr>
        <w:t xml:space="preserve">ICH </w:t>
      </w:r>
      <w:r>
        <w:rPr>
          <w:rFonts w:cs="Calibri"/>
          <w:spacing w:val="-4"/>
        </w:rPr>
        <w:t xml:space="preserve">Section 5.18.3 </w:t>
      </w:r>
      <w:r w:rsidRPr="00BD54DA">
        <w:rPr>
          <w:rFonts w:cs="Calibri"/>
          <w:i/>
          <w:spacing w:val="-4"/>
        </w:rPr>
        <w:t>states that the determination of the nature and extent of monitoring should be based on considerations such as the purpose of the clinical trial, the size, complexity</w:t>
      </w:r>
      <w:r w:rsidR="00305888" w:rsidRPr="00BD54DA">
        <w:rPr>
          <w:rFonts w:cs="Calibri"/>
          <w:i/>
          <w:spacing w:val="-4"/>
        </w:rPr>
        <w:t>,</w:t>
      </w:r>
      <w:r w:rsidRPr="00BD54DA">
        <w:rPr>
          <w:rFonts w:cs="Calibri"/>
          <w:i/>
          <w:spacing w:val="-4"/>
        </w:rPr>
        <w:t xml:space="preserve"> and objectives of the trial.</w:t>
      </w:r>
      <w:r>
        <w:rPr>
          <w:rFonts w:cs="Calibri"/>
          <w:spacing w:val="-4"/>
        </w:rPr>
        <w:t xml:space="preserve"> </w:t>
      </w:r>
    </w:p>
    <w:p w14:paraId="418ECEEA" w14:textId="77777777" w:rsidR="00FC6194" w:rsidRDefault="00FC6194" w:rsidP="006B34A3">
      <w:pPr>
        <w:widowControl w:val="0"/>
        <w:autoSpaceDE w:val="0"/>
        <w:autoSpaceDN w:val="0"/>
        <w:adjustRightInd w:val="0"/>
        <w:spacing w:after="0" w:line="239" w:lineRule="auto"/>
        <w:ind w:left="360" w:right="720"/>
        <w:rPr>
          <w:rFonts w:cs="Calibri"/>
          <w:spacing w:val="-4"/>
        </w:rPr>
      </w:pPr>
    </w:p>
    <w:p w14:paraId="588F8866" w14:textId="3D69A9FC" w:rsidR="00786689" w:rsidRDefault="00252494" w:rsidP="006B34A3">
      <w:pPr>
        <w:widowControl w:val="0"/>
        <w:autoSpaceDE w:val="0"/>
        <w:autoSpaceDN w:val="0"/>
        <w:adjustRightInd w:val="0"/>
        <w:spacing w:after="0" w:line="239" w:lineRule="auto"/>
        <w:ind w:left="360" w:right="720"/>
        <w:rPr>
          <w:rFonts w:cs="Calibri"/>
          <w:i/>
          <w:spacing w:val="-4"/>
        </w:rPr>
      </w:pPr>
      <w:r>
        <w:rPr>
          <w:rFonts w:cs="Calibri"/>
          <w:spacing w:val="-4"/>
        </w:rPr>
        <w:t xml:space="preserve">Audits are addressed in </w:t>
      </w:r>
      <w:r w:rsidR="000E0B42" w:rsidRPr="000E0B42">
        <w:rPr>
          <w:rFonts w:cs="Calibri"/>
          <w:spacing w:val="-4"/>
        </w:rPr>
        <w:t>ICH</w:t>
      </w:r>
      <w:r w:rsidR="000E0B42">
        <w:rPr>
          <w:rFonts w:cs="Calibri"/>
          <w:spacing w:val="-4"/>
        </w:rPr>
        <w:t xml:space="preserve"> </w:t>
      </w:r>
      <w:r>
        <w:rPr>
          <w:rFonts w:cs="Calibri"/>
          <w:spacing w:val="-4"/>
        </w:rPr>
        <w:t xml:space="preserve">Section 5.19, which states </w:t>
      </w:r>
      <w:r>
        <w:rPr>
          <w:rFonts w:cs="Calibri"/>
          <w:i/>
          <w:spacing w:val="-4"/>
        </w:rPr>
        <w:t>the purpose of a sponsor’s audit, which is independent of and separate from routine monitoring or quality control fu</w:t>
      </w:r>
      <w:r w:rsidR="00D1286C">
        <w:rPr>
          <w:rFonts w:cs="Calibri"/>
          <w:i/>
          <w:spacing w:val="-4"/>
        </w:rPr>
        <w:t xml:space="preserve">nctions, should be to evaluate </w:t>
      </w:r>
      <w:r>
        <w:rPr>
          <w:rFonts w:cs="Calibri"/>
          <w:i/>
          <w:spacing w:val="-4"/>
        </w:rPr>
        <w:t>trial conduct and compliance with the protocol, SOP</w:t>
      </w:r>
      <w:r w:rsidR="00E93704">
        <w:rPr>
          <w:rFonts w:cs="Calibri"/>
          <w:i/>
          <w:spacing w:val="-4"/>
        </w:rPr>
        <w:t>s</w:t>
      </w:r>
      <w:r>
        <w:rPr>
          <w:rFonts w:cs="Calibri"/>
          <w:i/>
          <w:spacing w:val="-4"/>
        </w:rPr>
        <w:t xml:space="preserve">, GCP, and the applicable regulatory requirements. </w:t>
      </w:r>
    </w:p>
    <w:p w14:paraId="7EBBE54E" w14:textId="77777777" w:rsidR="00EB15A6" w:rsidRDefault="00EB15A6" w:rsidP="006B34A3">
      <w:pPr>
        <w:widowControl w:val="0"/>
        <w:autoSpaceDE w:val="0"/>
        <w:autoSpaceDN w:val="0"/>
        <w:adjustRightInd w:val="0"/>
        <w:spacing w:after="0" w:line="239" w:lineRule="auto"/>
        <w:ind w:left="360" w:right="720"/>
        <w:rPr>
          <w:rFonts w:cs="Calibri"/>
          <w:i/>
          <w:spacing w:val="-4"/>
        </w:rPr>
      </w:pPr>
    </w:p>
    <w:p w14:paraId="76F9553B" w14:textId="171AE222" w:rsidR="008552BB" w:rsidRPr="008552BB" w:rsidRDefault="00786689" w:rsidP="008552BB">
      <w:pPr>
        <w:widowControl w:val="0"/>
        <w:autoSpaceDE w:val="0"/>
        <w:autoSpaceDN w:val="0"/>
        <w:adjustRightInd w:val="0"/>
        <w:spacing w:line="239" w:lineRule="auto"/>
        <w:ind w:left="360" w:right="720"/>
        <w:rPr>
          <w:rFonts w:cs="Calibri"/>
          <w:spacing w:val="-4"/>
        </w:rPr>
      </w:pPr>
      <w:r w:rsidRPr="00614C25">
        <w:rPr>
          <w:rFonts w:cs="Calibri"/>
          <w:b/>
          <w:spacing w:val="-4"/>
        </w:rPr>
        <w:t xml:space="preserve">FDA </w:t>
      </w:r>
      <w:r w:rsidR="0066036C" w:rsidRPr="00614C25">
        <w:rPr>
          <w:rFonts w:cs="Calibri"/>
          <w:b/>
          <w:spacing w:val="-4"/>
        </w:rPr>
        <w:t>Regulation</w:t>
      </w:r>
      <w:r w:rsidR="00614C25" w:rsidRPr="00614C25">
        <w:rPr>
          <w:rFonts w:cs="Calibri"/>
          <w:b/>
          <w:spacing w:val="-4"/>
        </w:rPr>
        <w:t xml:space="preserve">(s) </w:t>
      </w:r>
      <w:r w:rsidR="00614C25">
        <w:rPr>
          <w:rFonts w:cs="Calibri"/>
          <w:spacing w:val="-4"/>
        </w:rPr>
        <w:t>(if applicable)</w:t>
      </w:r>
      <w:r w:rsidR="0066036C" w:rsidRPr="00834ECB">
        <w:rPr>
          <w:rFonts w:cs="Calibri"/>
          <w:spacing w:val="-4"/>
        </w:rPr>
        <w:tab/>
      </w:r>
      <w:sdt>
        <w:sdtPr>
          <w:rPr>
            <w:rFonts w:cs="Calibri"/>
            <w:b/>
          </w:rPr>
          <w:id w:val="1677381593"/>
          <w14:checkbox>
            <w14:checked w14:val="0"/>
            <w14:checkedState w14:val="2612" w14:font="MS Gothic"/>
            <w14:uncheckedState w14:val="2610" w14:font="MS Gothic"/>
          </w14:checkbox>
        </w:sdtPr>
        <w:sdtEndPr/>
        <w:sdtContent>
          <w:r w:rsidR="00DF115B" w:rsidRPr="003071F8">
            <w:rPr>
              <w:rFonts w:ascii="MS Gothic" w:eastAsia="MS Gothic" w:hAnsi="MS Gothic" w:cs="Calibri" w:hint="eastAsia"/>
              <w:b/>
            </w:rPr>
            <w:t>☐</w:t>
          </w:r>
        </w:sdtContent>
      </w:sdt>
      <w:r w:rsidR="00DF115B" w:rsidRPr="003071F8">
        <w:rPr>
          <w:rFonts w:cs="Calibri"/>
          <w:b/>
        </w:rPr>
        <w:t xml:space="preserve"> N/A</w:t>
      </w:r>
      <w:r w:rsidR="0066036C">
        <w:rPr>
          <w:rFonts w:cs="Calibri"/>
          <w:spacing w:val="-4"/>
        </w:rPr>
        <w:tab/>
      </w:r>
      <w:r w:rsidR="0066036C">
        <w:rPr>
          <w:rFonts w:cs="Calibri"/>
          <w:spacing w:val="-4"/>
        </w:rPr>
        <w:tab/>
      </w:r>
      <w:r w:rsidR="0066036C">
        <w:rPr>
          <w:rFonts w:cs="Calibri"/>
          <w:spacing w:val="-4"/>
        </w:rPr>
        <w:tab/>
      </w:r>
      <w:r w:rsidR="0066036C">
        <w:rPr>
          <w:rFonts w:cs="Calibri"/>
          <w:spacing w:val="-4"/>
        </w:rPr>
        <w:tab/>
      </w:r>
    </w:p>
    <w:p w14:paraId="189BCFBB" w14:textId="1C9FE20F" w:rsidR="00786689" w:rsidRPr="008552BB" w:rsidRDefault="008552BB" w:rsidP="008552BB">
      <w:pPr>
        <w:ind w:left="360"/>
        <w:rPr>
          <w:i/>
          <w:iCs/>
          <w:color w:val="00B0F0"/>
        </w:rPr>
      </w:pPr>
      <w:r>
        <w:rPr>
          <w:i/>
          <w:iCs/>
          <w:color w:val="00B0F0"/>
        </w:rPr>
        <w:t>[If this SOP is not intended for FDA regulated clinical trials, check the N/A box]</w:t>
      </w:r>
    </w:p>
    <w:p w14:paraId="4F97890A" w14:textId="5AC4C578" w:rsidR="00786689" w:rsidRDefault="0066036C" w:rsidP="006B34A3">
      <w:pPr>
        <w:widowControl w:val="0"/>
        <w:autoSpaceDE w:val="0"/>
        <w:autoSpaceDN w:val="0"/>
        <w:adjustRightInd w:val="0"/>
        <w:spacing w:after="0" w:line="239" w:lineRule="auto"/>
        <w:ind w:left="360" w:right="720"/>
        <w:rPr>
          <w:rFonts w:cs="Calibri"/>
          <w:i/>
          <w:spacing w:val="-4"/>
        </w:rPr>
      </w:pPr>
      <w:r>
        <w:rPr>
          <w:rFonts w:cs="Calibri"/>
          <w:spacing w:val="-4"/>
        </w:rPr>
        <w:t xml:space="preserve">Per </w:t>
      </w:r>
      <w:r w:rsidR="00090FF4">
        <w:rPr>
          <w:rFonts w:cs="Calibri"/>
          <w:spacing w:val="-4"/>
        </w:rPr>
        <w:t>C</w:t>
      </w:r>
      <w:r>
        <w:rPr>
          <w:rFonts w:cs="Calibri"/>
          <w:spacing w:val="-4"/>
        </w:rPr>
        <w:t xml:space="preserve">ode </w:t>
      </w:r>
      <w:r w:rsidR="00786689">
        <w:rPr>
          <w:rFonts w:cs="Calibri"/>
          <w:spacing w:val="-4"/>
        </w:rPr>
        <w:t>21</w:t>
      </w:r>
      <w:r w:rsidR="003752D3">
        <w:rPr>
          <w:rFonts w:cs="Calibri"/>
          <w:spacing w:val="-4"/>
        </w:rPr>
        <w:t xml:space="preserve"> </w:t>
      </w:r>
      <w:r w:rsidR="00786689">
        <w:rPr>
          <w:rFonts w:cs="Calibri"/>
          <w:spacing w:val="-4"/>
        </w:rPr>
        <w:t>CFR</w:t>
      </w:r>
      <w:r w:rsidR="003752D3">
        <w:rPr>
          <w:rFonts w:cs="Calibri"/>
          <w:spacing w:val="-4"/>
        </w:rPr>
        <w:t xml:space="preserve"> </w:t>
      </w:r>
      <w:r w:rsidR="00786689">
        <w:rPr>
          <w:rFonts w:cs="Calibri"/>
          <w:spacing w:val="-4"/>
        </w:rPr>
        <w:t xml:space="preserve">312.53(d) </w:t>
      </w:r>
      <w:r w:rsidR="00786689" w:rsidRPr="00786689">
        <w:rPr>
          <w:rFonts w:cs="Calibri"/>
          <w:i/>
          <w:spacing w:val="-4"/>
        </w:rPr>
        <w:t>A sponsor shall select a monitor qualified by training and experience to monitor the progress of the investigation.</w:t>
      </w:r>
    </w:p>
    <w:p w14:paraId="04478C86" w14:textId="77777777" w:rsidR="00C04924" w:rsidRDefault="00C04924" w:rsidP="004F5DCD">
      <w:pPr>
        <w:widowControl w:val="0"/>
        <w:autoSpaceDE w:val="0"/>
        <w:autoSpaceDN w:val="0"/>
        <w:adjustRightInd w:val="0"/>
        <w:spacing w:after="0" w:line="239" w:lineRule="auto"/>
        <w:ind w:right="720"/>
        <w:rPr>
          <w:rFonts w:cs="Calibri"/>
          <w:i/>
          <w:spacing w:val="-4"/>
        </w:rPr>
      </w:pPr>
    </w:p>
    <w:p w14:paraId="3112C74F" w14:textId="0E898A58" w:rsidR="00CA5F06" w:rsidRPr="00CA5F06" w:rsidRDefault="00CA5F06" w:rsidP="00CA5F06">
      <w:pPr>
        <w:widowControl w:val="0"/>
        <w:autoSpaceDE w:val="0"/>
        <w:autoSpaceDN w:val="0"/>
        <w:adjustRightInd w:val="0"/>
        <w:spacing w:after="0" w:line="239" w:lineRule="auto"/>
        <w:ind w:left="360" w:right="720"/>
        <w:rPr>
          <w:rFonts w:cs="Calibri"/>
          <w:i/>
          <w:spacing w:val="-4"/>
        </w:rPr>
      </w:pPr>
      <w:r>
        <w:rPr>
          <w:rFonts w:cs="Calibri"/>
          <w:spacing w:val="-4"/>
        </w:rPr>
        <w:t>As it pertai</w:t>
      </w:r>
      <w:r w:rsidR="001A0491">
        <w:rPr>
          <w:rFonts w:cs="Calibri"/>
          <w:spacing w:val="-4"/>
        </w:rPr>
        <w:t xml:space="preserve">ns </w:t>
      </w:r>
      <w:r w:rsidR="00632252">
        <w:rPr>
          <w:rFonts w:cs="Calibri"/>
          <w:spacing w:val="-4"/>
        </w:rPr>
        <w:t>to investigational</w:t>
      </w:r>
      <w:r w:rsidR="001A0491">
        <w:rPr>
          <w:rFonts w:cs="Calibri"/>
          <w:spacing w:val="-4"/>
        </w:rPr>
        <w:t xml:space="preserve"> </w:t>
      </w:r>
      <w:r w:rsidR="003569FC">
        <w:rPr>
          <w:rFonts w:cs="Calibri"/>
          <w:spacing w:val="-4"/>
        </w:rPr>
        <w:t>d</w:t>
      </w:r>
      <w:r w:rsidR="001A0491">
        <w:rPr>
          <w:rFonts w:cs="Calibri"/>
          <w:spacing w:val="-4"/>
        </w:rPr>
        <w:t>evices, Code 21</w:t>
      </w:r>
      <w:r w:rsidR="003752D3">
        <w:rPr>
          <w:rFonts w:cs="Calibri"/>
          <w:spacing w:val="-4"/>
        </w:rPr>
        <w:t xml:space="preserve"> </w:t>
      </w:r>
      <w:r w:rsidR="001A0491">
        <w:rPr>
          <w:rFonts w:cs="Calibri"/>
          <w:spacing w:val="-4"/>
        </w:rPr>
        <w:t>CFR</w:t>
      </w:r>
      <w:r w:rsidR="003752D3">
        <w:rPr>
          <w:rFonts w:cs="Calibri"/>
          <w:spacing w:val="-4"/>
        </w:rPr>
        <w:t xml:space="preserve"> </w:t>
      </w:r>
      <w:r w:rsidR="001A0491">
        <w:rPr>
          <w:rFonts w:cs="Calibri"/>
          <w:spacing w:val="-4"/>
        </w:rPr>
        <w:t xml:space="preserve">812.43(d) </w:t>
      </w:r>
      <w:r>
        <w:rPr>
          <w:rFonts w:cs="Calibri"/>
          <w:spacing w:val="-4"/>
        </w:rPr>
        <w:t>states</w:t>
      </w:r>
      <w:r w:rsidR="0087107F">
        <w:rPr>
          <w:rFonts w:cs="Calibri"/>
          <w:spacing w:val="-4"/>
        </w:rPr>
        <w:t>:</w:t>
      </w:r>
      <w:r>
        <w:rPr>
          <w:rFonts w:cs="Calibri"/>
          <w:spacing w:val="-4"/>
        </w:rPr>
        <w:t xml:space="preserve"> </w:t>
      </w:r>
      <w:r>
        <w:rPr>
          <w:rFonts w:cs="Calibri"/>
          <w:i/>
          <w:spacing w:val="-4"/>
        </w:rPr>
        <w:t xml:space="preserve">A sponsor shall select monitors qualified by training and experience to monitor the investigational study in accordance with this part and other applicable FDA regulations. </w:t>
      </w:r>
    </w:p>
    <w:p w14:paraId="641CB4FA" w14:textId="77777777" w:rsidR="00764C25" w:rsidRDefault="00764C25" w:rsidP="00764C25">
      <w:pPr>
        <w:spacing w:after="0" w:line="240" w:lineRule="auto"/>
        <w:ind w:left="360"/>
        <w:rPr>
          <w:rFonts w:cstheme="minorHAnsi"/>
        </w:rPr>
      </w:pPr>
    </w:p>
    <w:p w14:paraId="67AB8BE8" w14:textId="4059AC38" w:rsidR="00FD51B6" w:rsidRDefault="00D24601" w:rsidP="00764C25">
      <w:pPr>
        <w:spacing w:after="0" w:line="240" w:lineRule="auto"/>
        <w:ind w:left="360" w:right="-20"/>
        <w:rPr>
          <w:rFonts w:cstheme="minorHAnsi"/>
          <w:b/>
          <w:color w:val="333333"/>
        </w:rPr>
      </w:pPr>
      <w:r w:rsidRPr="00D24601">
        <w:rPr>
          <w:rFonts w:cstheme="minorHAnsi"/>
          <w:b/>
          <w:color w:val="333333"/>
        </w:rPr>
        <w:t xml:space="preserve">University of Michigan </w:t>
      </w:r>
    </w:p>
    <w:p w14:paraId="4B30C186" w14:textId="77777777" w:rsidR="00D24601" w:rsidRPr="00D24601" w:rsidRDefault="00D24601" w:rsidP="00764C25">
      <w:pPr>
        <w:spacing w:after="0" w:line="240" w:lineRule="auto"/>
        <w:ind w:left="360" w:right="-20"/>
        <w:rPr>
          <w:rFonts w:cs="Calibri"/>
          <w:b/>
        </w:rPr>
      </w:pPr>
    </w:p>
    <w:p w14:paraId="55730ED0" w14:textId="191E10C7" w:rsidR="0066036C" w:rsidRDefault="00F85BE3" w:rsidP="0066036C">
      <w:pPr>
        <w:widowControl w:val="0"/>
        <w:autoSpaceDE w:val="0"/>
        <w:autoSpaceDN w:val="0"/>
        <w:adjustRightInd w:val="0"/>
        <w:spacing w:after="0" w:line="239" w:lineRule="auto"/>
        <w:ind w:left="360" w:right="720"/>
        <w:rPr>
          <w:rFonts w:cs="Calibri"/>
        </w:rPr>
      </w:pPr>
      <w:r>
        <w:rPr>
          <w:rFonts w:cstheme="minorHAnsi"/>
          <w:color w:val="333333"/>
        </w:rPr>
        <w:t>According to the University of Michigan Institutional Review Board (IRB</w:t>
      </w:r>
      <w:r w:rsidR="00C17BB4">
        <w:rPr>
          <w:rFonts w:cstheme="minorHAnsi"/>
          <w:color w:val="333333"/>
        </w:rPr>
        <w:t>)</w:t>
      </w:r>
    </w:p>
    <w:p w14:paraId="6F6D5E8F" w14:textId="0435D4C1" w:rsidR="00847088" w:rsidRPr="00C249D9" w:rsidRDefault="00847088" w:rsidP="0066036C">
      <w:pPr>
        <w:widowControl w:val="0"/>
        <w:autoSpaceDE w:val="0"/>
        <w:autoSpaceDN w:val="0"/>
        <w:adjustRightInd w:val="0"/>
        <w:spacing w:after="0" w:line="239" w:lineRule="auto"/>
        <w:ind w:left="360" w:right="720"/>
      </w:pPr>
      <w:r w:rsidRPr="00E959E1">
        <w:rPr>
          <w:i/>
        </w:rPr>
        <w:t>The IRB office may mo</w:t>
      </w:r>
      <w:r w:rsidR="00D1286C">
        <w:rPr>
          <w:i/>
        </w:rPr>
        <w:t xml:space="preserve">nitor studies both “for cause” </w:t>
      </w:r>
      <w:r w:rsidRPr="00E959E1">
        <w:rPr>
          <w:i/>
        </w:rPr>
        <w:t>(</w:t>
      </w:r>
      <w:r w:rsidR="00952888" w:rsidRPr="00E959E1">
        <w:rPr>
          <w:i/>
        </w:rPr>
        <w:t>e.g.,</w:t>
      </w:r>
      <w:r w:rsidRPr="00E959E1">
        <w:rPr>
          <w:i/>
        </w:rPr>
        <w:t xml:space="preserve"> alleged non-compliance) and “not-for-cause” (e.g. random review for quality assurance purposes</w:t>
      </w:r>
      <w:r w:rsidR="00DC122D">
        <w:rPr>
          <w:i/>
        </w:rPr>
        <w:t>)</w:t>
      </w:r>
      <w:r w:rsidR="00D1286C">
        <w:rPr>
          <w:i/>
        </w:rPr>
        <w:t>.</w:t>
      </w:r>
      <w:r w:rsidR="00C249D9">
        <w:rPr>
          <w:i/>
        </w:rPr>
        <w:t xml:space="preserve"> </w:t>
      </w:r>
    </w:p>
    <w:p w14:paraId="3B233938" w14:textId="77777777" w:rsidR="00FD51B6" w:rsidRPr="00FD51B6" w:rsidRDefault="00FD51B6" w:rsidP="00E13643">
      <w:pPr>
        <w:spacing w:after="0" w:line="240" w:lineRule="auto"/>
        <w:ind w:right="936" w:firstLine="360"/>
        <w:rPr>
          <w:rFonts w:ascii="Calibri" w:eastAsia="Calibri" w:hAnsi="Calibri" w:cs="Calibri"/>
          <w:b/>
        </w:rPr>
      </w:pPr>
    </w:p>
    <w:p w14:paraId="54EFE075" w14:textId="1843C797" w:rsidR="00E13643" w:rsidRDefault="00E13643" w:rsidP="00E13643">
      <w:pPr>
        <w:widowControl w:val="0"/>
        <w:autoSpaceDE w:val="0"/>
        <w:autoSpaceDN w:val="0"/>
        <w:adjustRightInd w:val="0"/>
        <w:spacing w:after="0" w:line="237" w:lineRule="auto"/>
        <w:ind w:left="360" w:right="720"/>
        <w:rPr>
          <w:rFonts w:cs="Calibri"/>
        </w:rPr>
      </w:pPr>
      <w:r>
        <w:rPr>
          <w:rFonts w:cs="Calibri"/>
        </w:rPr>
        <w:t xml:space="preserve">The U-M Office </w:t>
      </w:r>
      <w:r w:rsidR="00952888">
        <w:rPr>
          <w:rFonts w:cs="Calibri"/>
        </w:rPr>
        <w:t>of Research</w:t>
      </w:r>
      <w:r>
        <w:rPr>
          <w:rFonts w:cs="Calibri"/>
        </w:rPr>
        <w:t xml:space="preserve"> Compliance Review (ORCR), an office of the U-M Office of Research (UMOR) may also conduct post-IRB approval reviews of a routine nature, “for cause</w:t>
      </w:r>
      <w:r w:rsidR="00952888">
        <w:rPr>
          <w:rFonts w:cs="Calibri"/>
        </w:rPr>
        <w:t>,”</w:t>
      </w:r>
      <w:r>
        <w:rPr>
          <w:rFonts w:cs="Calibri"/>
        </w:rPr>
        <w:t xml:space="preserve"> or “</w:t>
      </w:r>
      <w:r w:rsidR="002F5AE2">
        <w:rPr>
          <w:rFonts w:cs="Calibri"/>
        </w:rPr>
        <w:t>not-</w:t>
      </w:r>
      <w:r>
        <w:rPr>
          <w:rFonts w:cs="Calibri"/>
        </w:rPr>
        <w:t>for-cause</w:t>
      </w:r>
      <w:r w:rsidR="00952888">
        <w:rPr>
          <w:rFonts w:cs="Calibri"/>
        </w:rPr>
        <w:t>.”</w:t>
      </w:r>
    </w:p>
    <w:p w14:paraId="069C1665" w14:textId="77777777" w:rsidR="006C061E" w:rsidRDefault="006C061E" w:rsidP="006C061E">
      <w:pPr>
        <w:spacing w:after="0" w:line="240" w:lineRule="auto"/>
        <w:ind w:right="936" w:firstLine="360"/>
        <w:rPr>
          <w:rFonts w:cs="Arial"/>
        </w:rPr>
      </w:pPr>
      <w:r w:rsidRPr="00CD4DCF">
        <w:rPr>
          <w:rFonts w:cs="Arial"/>
        </w:rPr>
        <w:t>(</w:t>
      </w:r>
      <w:r w:rsidRPr="00CD4DCF">
        <w:rPr>
          <w:rFonts w:cs="Arial"/>
          <w:b/>
        </w:rPr>
        <w:t>MANDATORY LANGUAGE</w:t>
      </w:r>
      <w:r w:rsidRPr="00CD4DCF">
        <w:rPr>
          <w:rFonts w:cs="Arial"/>
        </w:rPr>
        <w:t>)</w:t>
      </w:r>
    </w:p>
    <w:p w14:paraId="6E3BC907" w14:textId="77777777" w:rsidR="006C061E" w:rsidRDefault="006C061E" w:rsidP="00E13643">
      <w:pPr>
        <w:widowControl w:val="0"/>
        <w:autoSpaceDE w:val="0"/>
        <w:autoSpaceDN w:val="0"/>
        <w:adjustRightInd w:val="0"/>
        <w:spacing w:after="0" w:line="237" w:lineRule="auto"/>
        <w:ind w:left="360" w:right="720"/>
        <w:rPr>
          <w:rFonts w:cs="Calibri"/>
        </w:rPr>
      </w:pPr>
    </w:p>
    <w:p w14:paraId="3A0C2511" w14:textId="77777777" w:rsidR="0066036C" w:rsidRDefault="0066036C" w:rsidP="0066036C">
      <w:pPr>
        <w:widowControl w:val="0"/>
        <w:autoSpaceDE w:val="0"/>
        <w:autoSpaceDN w:val="0"/>
        <w:adjustRightInd w:val="0"/>
        <w:spacing w:after="0" w:line="239" w:lineRule="auto"/>
        <w:ind w:left="360" w:right="720"/>
        <w:rPr>
          <w:rFonts w:cs="Calibri"/>
          <w:b/>
        </w:rPr>
      </w:pPr>
      <w:r w:rsidRPr="003071F8">
        <w:rPr>
          <w:rFonts w:cs="Calibri"/>
          <w:b/>
        </w:rPr>
        <w:lastRenderedPageBreak/>
        <w:t>Additional Regulations or Policies</w:t>
      </w:r>
      <w:r w:rsidRPr="003071F8">
        <w:rPr>
          <w:rFonts w:cs="Calibri"/>
          <w:b/>
        </w:rPr>
        <w:tab/>
      </w:r>
      <w:r w:rsidRPr="003071F8">
        <w:rPr>
          <w:rFonts w:cs="Calibri"/>
          <w:b/>
        </w:rPr>
        <w:tab/>
        <w:t xml:space="preserve"> </w:t>
      </w:r>
      <w:sdt>
        <w:sdtPr>
          <w:rPr>
            <w:rFonts w:cs="Calibri"/>
            <w:b/>
          </w:rPr>
          <w:id w:val="1710683029"/>
          <w14:checkbox>
            <w14:checked w14:val="0"/>
            <w14:checkedState w14:val="2612" w14:font="MS Gothic"/>
            <w14:uncheckedState w14:val="2610" w14:font="MS Gothic"/>
          </w14:checkbox>
        </w:sdtPr>
        <w:sdtEndPr/>
        <w:sdtContent>
          <w:r w:rsidRPr="003071F8">
            <w:rPr>
              <w:rFonts w:ascii="MS Gothic" w:eastAsia="MS Gothic" w:hAnsi="MS Gothic" w:cs="Calibri" w:hint="eastAsia"/>
              <w:b/>
            </w:rPr>
            <w:t>☐</w:t>
          </w:r>
        </w:sdtContent>
      </w:sdt>
      <w:r w:rsidRPr="003071F8">
        <w:rPr>
          <w:rFonts w:cs="Calibri"/>
          <w:b/>
        </w:rPr>
        <w:t xml:space="preserve"> N/A</w:t>
      </w:r>
    </w:p>
    <w:p w14:paraId="7EF6DF67" w14:textId="77777777" w:rsidR="0066036C" w:rsidRPr="003071F8" w:rsidRDefault="0066036C" w:rsidP="0066036C">
      <w:pPr>
        <w:widowControl w:val="0"/>
        <w:autoSpaceDE w:val="0"/>
        <w:autoSpaceDN w:val="0"/>
        <w:adjustRightInd w:val="0"/>
        <w:spacing w:after="0" w:line="239" w:lineRule="auto"/>
        <w:ind w:left="360" w:right="720"/>
        <w:rPr>
          <w:rFonts w:cs="Calibri"/>
          <w:b/>
        </w:rPr>
      </w:pPr>
    </w:p>
    <w:p w14:paraId="5FE577A4" w14:textId="774A1CD3" w:rsidR="0066036C" w:rsidRPr="00D76F19" w:rsidRDefault="0066036C" w:rsidP="0066036C">
      <w:pPr>
        <w:widowControl w:val="0"/>
        <w:autoSpaceDE w:val="0"/>
        <w:autoSpaceDN w:val="0"/>
        <w:adjustRightInd w:val="0"/>
        <w:spacing w:after="0" w:line="240" w:lineRule="auto"/>
        <w:ind w:left="360" w:right="720"/>
        <w:rPr>
          <w:rFonts w:cs="Calibri"/>
          <w:i/>
          <w:color w:val="00B0F0"/>
        </w:rPr>
      </w:pPr>
      <w:r w:rsidRPr="00F1615E">
        <w:rPr>
          <w:rFonts w:cs="Calibri"/>
          <w:i/>
          <w:color w:val="00B0F0"/>
        </w:rPr>
        <w:t>[Optional:</w:t>
      </w:r>
      <w:r>
        <w:rPr>
          <w:rFonts w:cs="Calibri"/>
          <w:i/>
          <w:color w:val="00B0F0"/>
        </w:rPr>
        <w:t xml:space="preserve"> I</w:t>
      </w:r>
      <w:r w:rsidRPr="00F1615E">
        <w:rPr>
          <w:rFonts w:cs="Calibri"/>
          <w:i/>
          <w:color w:val="00B0F0"/>
        </w:rPr>
        <w:t xml:space="preserve">nsert any additional project, department, sponsor, institution, </w:t>
      </w:r>
      <w:r w:rsidR="00952888" w:rsidRPr="00F1615E">
        <w:rPr>
          <w:rFonts w:cs="Calibri"/>
          <w:i/>
          <w:color w:val="00B0F0"/>
        </w:rPr>
        <w:t>state,</w:t>
      </w:r>
      <w:r w:rsidRPr="00F1615E">
        <w:rPr>
          <w:rFonts w:cs="Calibri"/>
          <w:i/>
          <w:color w:val="00B0F0"/>
        </w:rPr>
        <w:t xml:space="preserve"> or federal policies that apply]</w:t>
      </w:r>
    </w:p>
    <w:p w14:paraId="76D49BA2" w14:textId="77777777" w:rsidR="00786689" w:rsidRDefault="00786689" w:rsidP="006B34A3">
      <w:pPr>
        <w:widowControl w:val="0"/>
        <w:autoSpaceDE w:val="0"/>
        <w:autoSpaceDN w:val="0"/>
        <w:adjustRightInd w:val="0"/>
        <w:spacing w:after="0" w:line="239" w:lineRule="auto"/>
        <w:ind w:left="360" w:right="720"/>
        <w:rPr>
          <w:rFonts w:cs="Calibri"/>
          <w:spacing w:val="-4"/>
        </w:rPr>
      </w:pPr>
    </w:p>
    <w:p w14:paraId="67B1F638" w14:textId="77777777" w:rsidR="00695A12" w:rsidRDefault="00695A12" w:rsidP="006B34A3">
      <w:pPr>
        <w:pStyle w:val="ListParagraph"/>
        <w:numPr>
          <w:ilvl w:val="0"/>
          <w:numId w:val="1"/>
        </w:numPr>
        <w:spacing w:after="0"/>
        <w:ind w:right="720"/>
        <w:rPr>
          <w:b/>
        </w:rPr>
      </w:pPr>
      <w:r w:rsidRPr="00695A12">
        <w:rPr>
          <w:b/>
        </w:rPr>
        <w:t>DEFINITIONS</w:t>
      </w:r>
    </w:p>
    <w:p w14:paraId="5A610A44" w14:textId="77777777" w:rsidR="00B310B6" w:rsidRPr="00695A12" w:rsidRDefault="00B310B6" w:rsidP="00B310B6">
      <w:pPr>
        <w:pStyle w:val="ListParagraph"/>
        <w:spacing w:after="0"/>
        <w:ind w:left="360" w:right="720"/>
        <w:rPr>
          <w:b/>
        </w:rPr>
      </w:pPr>
    </w:p>
    <w:p w14:paraId="2F33E731" w14:textId="7140C156" w:rsidR="0012064F" w:rsidRDefault="0012064F" w:rsidP="007C6FAF">
      <w:pPr>
        <w:widowControl w:val="0"/>
        <w:autoSpaceDE w:val="0"/>
        <w:autoSpaceDN w:val="0"/>
        <w:adjustRightInd w:val="0"/>
        <w:spacing w:after="0" w:line="240" w:lineRule="auto"/>
        <w:ind w:left="360" w:right="720"/>
        <w:rPr>
          <w:color w:val="333333"/>
        </w:rPr>
      </w:pPr>
      <w:r w:rsidRPr="0012064F">
        <w:rPr>
          <w:rFonts w:cstheme="minorHAnsi"/>
          <w:color w:val="333333"/>
        </w:rPr>
        <w:t>AUDIT</w:t>
      </w:r>
      <w:r>
        <w:rPr>
          <w:rFonts w:ascii="Helvetica" w:hAnsi="Helvetica"/>
          <w:color w:val="333333"/>
        </w:rPr>
        <w:t xml:space="preserve">: </w:t>
      </w:r>
      <w:r w:rsidR="00517D3C">
        <w:rPr>
          <w:color w:val="333333"/>
        </w:rPr>
        <w:t xml:space="preserve">A systematic review, inspection, or verification, typically conducted by an independent individual or group. An audit may also include examination of compliance with applicable award terms, laws, </w:t>
      </w:r>
      <w:r w:rsidR="00952888">
        <w:rPr>
          <w:color w:val="333333"/>
        </w:rPr>
        <w:t>regulations,</w:t>
      </w:r>
      <w:r w:rsidR="00517D3C">
        <w:rPr>
          <w:color w:val="333333"/>
        </w:rPr>
        <w:t xml:space="preserve"> and policies </w:t>
      </w:r>
    </w:p>
    <w:p w14:paraId="51F104DD" w14:textId="77777777" w:rsidR="00517D3C" w:rsidRDefault="00517D3C" w:rsidP="007C6FAF">
      <w:pPr>
        <w:widowControl w:val="0"/>
        <w:autoSpaceDE w:val="0"/>
        <w:autoSpaceDN w:val="0"/>
        <w:adjustRightInd w:val="0"/>
        <w:spacing w:after="0" w:line="240" w:lineRule="auto"/>
        <w:ind w:left="360" w:right="720"/>
        <w:rPr>
          <w:rFonts w:cs="Calibri"/>
          <w:spacing w:val="-1"/>
        </w:rPr>
      </w:pPr>
    </w:p>
    <w:p w14:paraId="10688FE8" w14:textId="36D44144" w:rsidR="009E4EBB" w:rsidRPr="00D33D2E" w:rsidRDefault="00E00FEC" w:rsidP="009E4EBB">
      <w:pPr>
        <w:pStyle w:val="ListParagraph"/>
        <w:spacing w:after="0" w:line="240" w:lineRule="auto"/>
        <w:ind w:left="360" w:right="720"/>
      </w:pPr>
      <w:r w:rsidRPr="00D33D2E">
        <w:t>DOCUMENTATION: All records, in any form (including, but not limited to, written, electronic, magnetic, and optical records; and scans, x-rays, and electrocardiograms) that describe or record the methods, conduct, and/or results of a trial, the factors affecting a trial, and the actions taken</w:t>
      </w:r>
      <w:r w:rsidR="009E4EBB">
        <w:t xml:space="preserve"> </w:t>
      </w:r>
      <w:r w:rsidR="009E4EBB" w:rsidRPr="009D3025">
        <w:rPr>
          <w:highlight w:val="cyan"/>
        </w:rPr>
        <w:t xml:space="preserve">(ICH-GCP </w:t>
      </w:r>
      <w:r w:rsidR="009E4EBB">
        <w:rPr>
          <w:highlight w:val="cyan"/>
        </w:rPr>
        <w:t xml:space="preserve">R2 </w:t>
      </w:r>
      <w:r w:rsidR="009E4EBB" w:rsidRPr="009D3025">
        <w:rPr>
          <w:highlight w:val="cyan"/>
        </w:rPr>
        <w:t>definition)</w:t>
      </w:r>
    </w:p>
    <w:p w14:paraId="6BA9133F" w14:textId="77777777" w:rsidR="00232AF6" w:rsidRDefault="00232AF6" w:rsidP="00952888">
      <w:pPr>
        <w:spacing w:after="0" w:line="240" w:lineRule="auto"/>
        <w:ind w:right="720"/>
      </w:pPr>
    </w:p>
    <w:p w14:paraId="119B72D5" w14:textId="33B3C383" w:rsidR="006E62D9" w:rsidRDefault="00232AF6" w:rsidP="00F018BE">
      <w:pPr>
        <w:pStyle w:val="ListParagraph"/>
        <w:spacing w:after="0" w:line="240" w:lineRule="auto"/>
        <w:ind w:left="360" w:right="720"/>
      </w:pPr>
      <w:r w:rsidRPr="00232AF6">
        <w:t>FOR-CAUSE AUDIT</w:t>
      </w:r>
      <w:r w:rsidR="00E00FEC">
        <w:t>/REVIEW</w:t>
      </w:r>
      <w:r w:rsidR="006E62D9" w:rsidRPr="00C249D9">
        <w:t xml:space="preserve">: An audit of research and/or investigators initiated at the request of the IRB or Institutional Official to obtain or verify information necessary to ensure compliance with regulations and institutional requirements and to inform decisions about the conduct of human subject research </w:t>
      </w:r>
      <w:r>
        <w:t>and/or human subject protection</w:t>
      </w:r>
      <w:r w:rsidR="00DE571F">
        <w:t xml:space="preserve"> (IRB definition)</w:t>
      </w:r>
    </w:p>
    <w:p w14:paraId="7F8E1147" w14:textId="30BFF1E3" w:rsidR="00B46A75" w:rsidRDefault="00B46A75" w:rsidP="00F018BE">
      <w:pPr>
        <w:pStyle w:val="ListParagraph"/>
        <w:spacing w:after="0" w:line="240" w:lineRule="auto"/>
        <w:ind w:left="360" w:right="720"/>
      </w:pPr>
    </w:p>
    <w:p w14:paraId="4EAF4C5C" w14:textId="02EDF9CA" w:rsidR="00B46A75" w:rsidRPr="007F77AD" w:rsidRDefault="00B46A75" w:rsidP="00F018BE">
      <w:pPr>
        <w:pStyle w:val="ListParagraph"/>
        <w:spacing w:after="0" w:line="240" w:lineRule="auto"/>
        <w:ind w:left="360" w:right="720"/>
      </w:pPr>
      <w:r w:rsidRPr="007F77AD">
        <w:t xml:space="preserve">INTERNATIONAL COUNCIL ON HARMONISATION (ICH): A joint initiative involving both regulators and research-based industry representatives of the European Union, </w:t>
      </w:r>
      <w:r w:rsidR="00952888" w:rsidRPr="007F77AD">
        <w:t>Japan,</w:t>
      </w:r>
      <w:r w:rsidRPr="007F77AD">
        <w:t xml:space="preserve"> and the USA in scientific and technical discussions of the testing procedures required to assess and ensure the safety, </w:t>
      </w:r>
      <w:r w:rsidR="00952888" w:rsidRPr="007F77AD">
        <w:t>quality,</w:t>
      </w:r>
      <w:r w:rsidRPr="007F77AD">
        <w:t xml:space="preserve"> and efficacy of medicines</w:t>
      </w:r>
    </w:p>
    <w:p w14:paraId="435F5633" w14:textId="77777777" w:rsidR="00F261C0" w:rsidRPr="007F77AD" w:rsidRDefault="00F261C0" w:rsidP="00FC53BD">
      <w:pPr>
        <w:widowControl w:val="0"/>
        <w:autoSpaceDE w:val="0"/>
        <w:autoSpaceDN w:val="0"/>
        <w:adjustRightInd w:val="0"/>
        <w:spacing w:after="0" w:line="240" w:lineRule="auto"/>
        <w:ind w:right="720"/>
        <w:rPr>
          <w:rFonts w:cs="Calibri"/>
          <w:spacing w:val="-1"/>
        </w:rPr>
      </w:pPr>
    </w:p>
    <w:p w14:paraId="7BF514C6" w14:textId="77777777" w:rsidR="000B1225" w:rsidRPr="00952888" w:rsidRDefault="00DD6A7D" w:rsidP="000B1225">
      <w:pPr>
        <w:pStyle w:val="ListParagraph"/>
        <w:spacing w:after="0" w:line="240" w:lineRule="auto"/>
        <w:ind w:left="360" w:right="720"/>
      </w:pPr>
      <w:r w:rsidRPr="007F77AD">
        <w:rPr>
          <w:rFonts w:cs="Calibri"/>
          <w:spacing w:val="-1"/>
        </w:rPr>
        <w:t>MONITOR</w:t>
      </w:r>
      <w:r w:rsidRPr="007F77AD">
        <w:rPr>
          <w:rFonts w:cstheme="minorHAnsi"/>
          <w:spacing w:val="-1"/>
        </w:rPr>
        <w:t xml:space="preserve">: </w:t>
      </w:r>
      <w:r w:rsidR="000B1225" w:rsidRPr="00952888">
        <w:t>An individual who acts as a liaison between the sponsor and the investigator of a clinical study, and who oversees the progress and conduct of the trial; may also be referred to as a Clinical Research Associate (CRA)</w:t>
      </w:r>
    </w:p>
    <w:p w14:paraId="7CD634B9" w14:textId="75C949D7" w:rsidR="00F018BE" w:rsidRPr="007F77AD" w:rsidRDefault="00CA707E" w:rsidP="00952888">
      <w:pPr>
        <w:pStyle w:val="pf0"/>
        <w:ind w:left="360"/>
        <w:rPr>
          <w:spacing w:val="-1"/>
        </w:rPr>
      </w:pPr>
      <w:r w:rsidRPr="00952888">
        <w:rPr>
          <w:rFonts w:asciiTheme="minorHAnsi" w:hAnsiTheme="minorHAnsi" w:cstheme="minorHAnsi"/>
          <w:sz w:val="22"/>
          <w:szCs w:val="22"/>
        </w:rPr>
        <w:t xml:space="preserve">MONITORING PLAN: </w:t>
      </w:r>
      <w:r w:rsidR="00ED7427" w:rsidRPr="00952888">
        <w:rPr>
          <w:rStyle w:val="cf01"/>
          <w:rFonts w:asciiTheme="minorHAnsi" w:hAnsiTheme="minorHAnsi" w:cstheme="minorHAnsi"/>
          <w:sz w:val="22"/>
          <w:szCs w:val="22"/>
        </w:rPr>
        <w:t>A document that describes the strategy, methods, responsibilities, and requirements for monitoring the trial</w:t>
      </w:r>
    </w:p>
    <w:p w14:paraId="0D5CC645" w14:textId="64E0F72F" w:rsidR="00DD6A7D" w:rsidRPr="007F77AD" w:rsidRDefault="00DD6A7D" w:rsidP="007C6FAF">
      <w:pPr>
        <w:widowControl w:val="0"/>
        <w:autoSpaceDE w:val="0"/>
        <w:autoSpaceDN w:val="0"/>
        <w:adjustRightInd w:val="0"/>
        <w:spacing w:after="0" w:line="240" w:lineRule="auto"/>
        <w:ind w:left="360" w:right="720"/>
        <w:rPr>
          <w:rFonts w:cstheme="minorHAnsi"/>
          <w:color w:val="333333"/>
        </w:rPr>
      </w:pPr>
      <w:r w:rsidRPr="007F77AD">
        <w:rPr>
          <w:rFonts w:cstheme="minorHAnsi"/>
          <w:spacing w:val="-1"/>
        </w:rPr>
        <w:t>MONITORING REPORT:</w:t>
      </w:r>
      <w:r w:rsidR="00E00FEC" w:rsidRPr="007F77AD">
        <w:rPr>
          <w:rFonts w:cstheme="minorHAnsi"/>
        </w:rPr>
        <w:t xml:space="preserve"> A written report from the monitor to the sponsor after each site visit and/or other trial-related communication </w:t>
      </w:r>
      <w:r w:rsidR="00DA0483" w:rsidRPr="007F77AD">
        <w:rPr>
          <w:rFonts w:cstheme="minorHAnsi"/>
        </w:rPr>
        <w:t>according to the sponsor’s SOPs</w:t>
      </w:r>
    </w:p>
    <w:p w14:paraId="7386C3F1" w14:textId="77777777" w:rsidR="00F018BE" w:rsidRDefault="00F018BE" w:rsidP="00FC53BD">
      <w:pPr>
        <w:widowControl w:val="0"/>
        <w:autoSpaceDE w:val="0"/>
        <w:autoSpaceDN w:val="0"/>
        <w:adjustRightInd w:val="0"/>
        <w:spacing w:after="0" w:line="240" w:lineRule="auto"/>
        <w:ind w:right="720"/>
        <w:rPr>
          <w:rFonts w:cs="Calibri"/>
          <w:spacing w:val="-1"/>
        </w:rPr>
      </w:pPr>
    </w:p>
    <w:p w14:paraId="1D96C930" w14:textId="15B79F71" w:rsidR="009A7D3A" w:rsidRDefault="008A6E2E" w:rsidP="00FC53BD">
      <w:pPr>
        <w:spacing w:after="0"/>
        <w:ind w:left="360"/>
        <w:rPr>
          <w:rFonts w:cstheme="minorHAnsi"/>
        </w:rPr>
      </w:pPr>
      <w:r w:rsidRPr="00852F31">
        <w:lastRenderedPageBreak/>
        <w:t>OTHER REPORTABLE INFORMATION OR OCCURRENCE</w:t>
      </w:r>
      <w:r>
        <w:t xml:space="preserve"> </w:t>
      </w:r>
      <w:r w:rsidRPr="00852F31">
        <w:t xml:space="preserve">(ORIO): </w:t>
      </w:r>
      <w:r w:rsidRPr="00852F31">
        <w:rPr>
          <w:rFonts w:cstheme="minorHAnsi"/>
        </w:rPr>
        <w:t>Any event, not an adverse event, that occurs during a clinical research study</w:t>
      </w:r>
      <w:r w:rsidR="007F77AD">
        <w:rPr>
          <w:rFonts w:cstheme="minorHAnsi"/>
        </w:rPr>
        <w:t xml:space="preserve"> (IRB definition)</w:t>
      </w:r>
    </w:p>
    <w:p w14:paraId="1585DAC2" w14:textId="08C69CE7" w:rsidR="00834ECB" w:rsidRDefault="00834ECB" w:rsidP="00834ECB">
      <w:pPr>
        <w:spacing w:after="0"/>
        <w:ind w:right="936" w:firstLine="288"/>
        <w:rPr>
          <w:rFonts w:cs="Arial"/>
        </w:rPr>
      </w:pPr>
      <w:r>
        <w:rPr>
          <w:rFonts w:cs="Arial"/>
        </w:rPr>
        <w:t xml:space="preserve"> </w:t>
      </w:r>
      <w:r w:rsidRPr="001C50F2">
        <w:rPr>
          <w:rFonts w:cs="Arial"/>
        </w:rPr>
        <w:t>(</w:t>
      </w:r>
      <w:r w:rsidRPr="001C50F2">
        <w:rPr>
          <w:rFonts w:cs="Arial"/>
          <w:b/>
        </w:rPr>
        <w:t>MANDATORY LANGUAGE</w:t>
      </w:r>
      <w:r w:rsidRPr="001C50F2">
        <w:rPr>
          <w:rFonts w:cs="Arial"/>
        </w:rPr>
        <w:t>)</w:t>
      </w:r>
    </w:p>
    <w:p w14:paraId="4FAEABA8" w14:textId="77777777" w:rsidR="00267A0D" w:rsidRDefault="00267A0D" w:rsidP="00834ECB">
      <w:pPr>
        <w:pStyle w:val="NormalWeb"/>
        <w:spacing w:before="0" w:beforeAutospacing="0" w:after="0" w:afterAutospacing="0"/>
        <w:rPr>
          <w:rFonts w:asciiTheme="minorHAnsi" w:eastAsiaTheme="minorHAnsi" w:hAnsiTheme="minorHAnsi" w:cstheme="minorBidi"/>
          <w:sz w:val="22"/>
          <w:szCs w:val="22"/>
        </w:rPr>
      </w:pPr>
    </w:p>
    <w:p w14:paraId="229C5AE9" w14:textId="77777777" w:rsidR="00E00FEC" w:rsidRDefault="00E00FEC" w:rsidP="00E00FEC">
      <w:pPr>
        <w:spacing w:after="0" w:line="240" w:lineRule="auto"/>
        <w:ind w:left="288"/>
        <w:rPr>
          <w:rFonts w:ascii="Calibri" w:eastAsia="Calibri" w:hAnsi="Calibri" w:cs="Calibri"/>
          <w:i/>
          <w:color w:val="00B0F0"/>
        </w:rPr>
      </w:pPr>
      <w:r w:rsidRPr="00F1615E">
        <w:rPr>
          <w:rFonts w:cs="Calibri"/>
          <w:i/>
          <w:color w:val="00B0F0"/>
        </w:rPr>
        <w:t xml:space="preserve">[Optional: </w:t>
      </w:r>
      <w:r>
        <w:rPr>
          <w:rFonts w:ascii="Calibri" w:eastAsia="Calibri" w:hAnsi="Calibri" w:cs="Calibri"/>
          <w:i/>
          <w:color w:val="00B0F0"/>
          <w:spacing w:val="-1"/>
        </w:rPr>
        <w:t>Insert</w:t>
      </w:r>
      <w:r w:rsidRPr="00F1615E">
        <w:rPr>
          <w:rFonts w:ascii="Calibri" w:eastAsia="Calibri" w:hAnsi="Calibri" w:cs="Calibri"/>
          <w:i/>
          <w:color w:val="00B0F0"/>
          <w:spacing w:val="-1"/>
        </w:rPr>
        <w:t xml:space="preserve"> an</w:t>
      </w:r>
      <w:r w:rsidRPr="00F1615E">
        <w:rPr>
          <w:rFonts w:ascii="Calibri" w:eastAsia="Calibri" w:hAnsi="Calibri" w:cs="Calibri"/>
          <w:i/>
          <w:color w:val="00B0F0"/>
        </w:rPr>
        <w:t>y</w:t>
      </w:r>
      <w:r w:rsidRPr="00F1615E">
        <w:rPr>
          <w:rFonts w:ascii="Calibri" w:eastAsia="Calibri" w:hAnsi="Calibri" w:cs="Calibri"/>
          <w:i/>
          <w:color w:val="00B0F0"/>
          <w:spacing w:val="-2"/>
        </w:rPr>
        <w:t xml:space="preserve"> additional</w:t>
      </w:r>
      <w:r>
        <w:rPr>
          <w:rFonts w:ascii="Calibri" w:eastAsia="Calibri" w:hAnsi="Calibri" w:cs="Calibri"/>
          <w:i/>
          <w:color w:val="00B0F0"/>
          <w:spacing w:val="-2"/>
        </w:rPr>
        <w:t xml:space="preserve"> definitions for</w:t>
      </w:r>
      <w:r w:rsidRPr="00F1615E">
        <w:rPr>
          <w:rFonts w:ascii="Calibri" w:eastAsia="Calibri" w:hAnsi="Calibri" w:cs="Calibri"/>
          <w:i/>
          <w:color w:val="00B0F0"/>
          <w:spacing w:val="-2"/>
        </w:rPr>
        <w:t xml:space="preserve"> </w:t>
      </w:r>
      <w:r w:rsidRPr="00F1615E">
        <w:rPr>
          <w:rFonts w:ascii="Calibri" w:eastAsia="Calibri" w:hAnsi="Calibri" w:cs="Calibri"/>
          <w:i/>
          <w:color w:val="00B0F0"/>
        </w:rPr>
        <w:t>te</w:t>
      </w:r>
      <w:r w:rsidRPr="00F1615E">
        <w:rPr>
          <w:rFonts w:ascii="Calibri" w:eastAsia="Calibri" w:hAnsi="Calibri" w:cs="Calibri"/>
          <w:i/>
          <w:color w:val="00B0F0"/>
          <w:spacing w:val="-1"/>
        </w:rPr>
        <w:t>chn</w:t>
      </w:r>
      <w:r w:rsidRPr="00F1615E">
        <w:rPr>
          <w:rFonts w:ascii="Calibri" w:eastAsia="Calibri" w:hAnsi="Calibri" w:cs="Calibri"/>
          <w:i/>
          <w:color w:val="00B0F0"/>
        </w:rPr>
        <w:t>i</w:t>
      </w:r>
      <w:r w:rsidRPr="00F1615E">
        <w:rPr>
          <w:rFonts w:ascii="Calibri" w:eastAsia="Calibri" w:hAnsi="Calibri" w:cs="Calibri"/>
          <w:i/>
          <w:color w:val="00B0F0"/>
          <w:spacing w:val="-1"/>
        </w:rPr>
        <w:t>ca</w:t>
      </w:r>
      <w:r w:rsidRPr="00F1615E">
        <w:rPr>
          <w:rFonts w:ascii="Calibri" w:eastAsia="Calibri" w:hAnsi="Calibri" w:cs="Calibri"/>
          <w:i/>
          <w:color w:val="00B0F0"/>
        </w:rPr>
        <w:t>l</w:t>
      </w:r>
      <w:r w:rsidRPr="00F1615E">
        <w:rPr>
          <w:rFonts w:ascii="Calibri" w:eastAsia="Calibri" w:hAnsi="Calibri" w:cs="Calibri"/>
          <w:i/>
          <w:color w:val="00B0F0"/>
          <w:spacing w:val="-7"/>
        </w:rPr>
        <w:t xml:space="preserve"> </w:t>
      </w:r>
      <w:r w:rsidRPr="00F1615E">
        <w:rPr>
          <w:rFonts w:ascii="Calibri" w:eastAsia="Calibri" w:hAnsi="Calibri" w:cs="Calibri"/>
          <w:i/>
          <w:color w:val="00B0F0"/>
        </w:rPr>
        <w:t>or</w:t>
      </w:r>
      <w:r w:rsidRPr="00F1615E">
        <w:rPr>
          <w:rFonts w:ascii="Calibri" w:eastAsia="Calibri" w:hAnsi="Calibri" w:cs="Calibri"/>
          <w:i/>
          <w:color w:val="00B0F0"/>
          <w:spacing w:val="-1"/>
        </w:rPr>
        <w:t xml:space="preserve"> </w:t>
      </w:r>
      <w:r w:rsidRPr="00F1615E">
        <w:rPr>
          <w:rFonts w:ascii="Calibri" w:eastAsia="Calibri" w:hAnsi="Calibri" w:cs="Calibri"/>
          <w:i/>
          <w:color w:val="00B0F0"/>
        </w:rPr>
        <w:t>s</w:t>
      </w:r>
      <w:r w:rsidRPr="00F1615E">
        <w:rPr>
          <w:rFonts w:ascii="Calibri" w:eastAsia="Calibri" w:hAnsi="Calibri" w:cs="Calibri"/>
          <w:i/>
          <w:color w:val="00B0F0"/>
          <w:spacing w:val="-1"/>
        </w:rPr>
        <w:t>p</w:t>
      </w:r>
      <w:r w:rsidRPr="00F1615E">
        <w:rPr>
          <w:rFonts w:ascii="Calibri" w:eastAsia="Calibri" w:hAnsi="Calibri" w:cs="Calibri"/>
          <w:i/>
          <w:color w:val="00B0F0"/>
        </w:rPr>
        <w:t>e</w:t>
      </w:r>
      <w:r w:rsidRPr="00F1615E">
        <w:rPr>
          <w:rFonts w:ascii="Calibri" w:eastAsia="Calibri" w:hAnsi="Calibri" w:cs="Calibri"/>
          <w:i/>
          <w:color w:val="00B0F0"/>
          <w:spacing w:val="-1"/>
        </w:rPr>
        <w:t>c</w:t>
      </w:r>
      <w:r w:rsidRPr="00F1615E">
        <w:rPr>
          <w:rFonts w:ascii="Calibri" w:eastAsia="Calibri" w:hAnsi="Calibri" w:cs="Calibri"/>
          <w:i/>
          <w:color w:val="00B0F0"/>
        </w:rPr>
        <w:t>i</w:t>
      </w:r>
      <w:r w:rsidRPr="00F1615E">
        <w:rPr>
          <w:rFonts w:ascii="Calibri" w:eastAsia="Calibri" w:hAnsi="Calibri" w:cs="Calibri"/>
          <w:i/>
          <w:color w:val="00B0F0"/>
          <w:spacing w:val="-1"/>
        </w:rPr>
        <w:t>a</w:t>
      </w:r>
      <w:r w:rsidRPr="00F1615E">
        <w:rPr>
          <w:rFonts w:ascii="Calibri" w:eastAsia="Calibri" w:hAnsi="Calibri" w:cs="Calibri"/>
          <w:i/>
          <w:color w:val="00B0F0"/>
        </w:rPr>
        <w:t>l</w:t>
      </w:r>
      <w:r w:rsidRPr="00F1615E">
        <w:rPr>
          <w:rFonts w:ascii="Calibri" w:eastAsia="Calibri" w:hAnsi="Calibri" w:cs="Calibri"/>
          <w:i/>
          <w:color w:val="00B0F0"/>
          <w:spacing w:val="-4"/>
        </w:rPr>
        <w:t xml:space="preserve"> </w:t>
      </w:r>
      <w:r>
        <w:rPr>
          <w:rFonts w:ascii="Calibri" w:eastAsia="Calibri" w:hAnsi="Calibri" w:cs="Calibri"/>
          <w:i/>
          <w:color w:val="00B0F0"/>
        </w:rPr>
        <w:t>terms</w:t>
      </w:r>
      <w:r w:rsidRPr="00F1615E">
        <w:rPr>
          <w:rFonts w:ascii="Calibri" w:eastAsia="Calibri" w:hAnsi="Calibri" w:cs="Calibri"/>
          <w:i/>
          <w:color w:val="00B0F0"/>
          <w:spacing w:val="-4"/>
        </w:rPr>
        <w:t xml:space="preserve"> </w:t>
      </w:r>
      <w:r w:rsidRPr="00F1615E">
        <w:rPr>
          <w:rFonts w:ascii="Calibri" w:eastAsia="Calibri" w:hAnsi="Calibri" w:cs="Calibri"/>
          <w:i/>
          <w:color w:val="00B0F0"/>
          <w:spacing w:val="-1"/>
        </w:rPr>
        <w:t>u</w:t>
      </w:r>
      <w:r w:rsidRPr="00F1615E">
        <w:rPr>
          <w:rFonts w:ascii="Calibri" w:eastAsia="Calibri" w:hAnsi="Calibri" w:cs="Calibri"/>
          <w:i/>
          <w:color w:val="00B0F0"/>
        </w:rPr>
        <w:t>sed</w:t>
      </w:r>
      <w:r w:rsidRPr="00F1615E">
        <w:rPr>
          <w:rFonts w:ascii="Calibri" w:eastAsia="Calibri" w:hAnsi="Calibri" w:cs="Calibri"/>
          <w:i/>
          <w:color w:val="00B0F0"/>
          <w:spacing w:val="-5"/>
        </w:rPr>
        <w:t xml:space="preserve"> </w:t>
      </w:r>
      <w:r w:rsidRPr="00F1615E">
        <w:rPr>
          <w:rFonts w:ascii="Calibri" w:eastAsia="Calibri" w:hAnsi="Calibri" w:cs="Calibri"/>
          <w:i/>
          <w:color w:val="00B0F0"/>
        </w:rPr>
        <w:t>wi</w:t>
      </w:r>
      <w:r w:rsidRPr="00F1615E">
        <w:rPr>
          <w:rFonts w:ascii="Calibri" w:eastAsia="Calibri" w:hAnsi="Calibri" w:cs="Calibri"/>
          <w:i/>
          <w:color w:val="00B0F0"/>
          <w:spacing w:val="-2"/>
        </w:rPr>
        <w:t>t</w:t>
      </w:r>
      <w:r w:rsidRPr="00F1615E">
        <w:rPr>
          <w:rFonts w:ascii="Calibri" w:eastAsia="Calibri" w:hAnsi="Calibri" w:cs="Calibri"/>
          <w:i/>
          <w:color w:val="00B0F0"/>
          <w:spacing w:val="-1"/>
        </w:rPr>
        <w:t>h</w:t>
      </w:r>
      <w:r w:rsidRPr="00F1615E">
        <w:rPr>
          <w:rFonts w:ascii="Calibri" w:eastAsia="Calibri" w:hAnsi="Calibri" w:cs="Calibri"/>
          <w:i/>
          <w:color w:val="00B0F0"/>
        </w:rPr>
        <w:t>in</w:t>
      </w:r>
      <w:r w:rsidRPr="00F1615E">
        <w:rPr>
          <w:rFonts w:ascii="Calibri" w:eastAsia="Calibri" w:hAnsi="Calibri" w:cs="Calibri"/>
          <w:i/>
          <w:color w:val="00B0F0"/>
          <w:spacing w:val="-5"/>
        </w:rPr>
        <w:t xml:space="preserve"> </w:t>
      </w:r>
      <w:r>
        <w:rPr>
          <w:rFonts w:ascii="Calibri" w:eastAsia="Calibri" w:hAnsi="Calibri" w:cs="Calibri"/>
          <w:i/>
          <w:color w:val="00B0F0"/>
          <w:spacing w:val="-3"/>
        </w:rPr>
        <w:t>the Standard Operating Procedure</w:t>
      </w:r>
      <w:r w:rsidRPr="00F1615E">
        <w:rPr>
          <w:rFonts w:ascii="Calibri" w:eastAsia="Calibri" w:hAnsi="Calibri" w:cs="Calibri"/>
          <w:i/>
          <w:color w:val="00B0F0"/>
          <w:spacing w:val="-3"/>
        </w:rPr>
        <w:t xml:space="preserve"> </w:t>
      </w:r>
      <w:r w:rsidRPr="00F1615E">
        <w:rPr>
          <w:rFonts w:ascii="Calibri" w:eastAsia="Calibri" w:hAnsi="Calibri" w:cs="Calibri"/>
          <w:i/>
          <w:color w:val="00B0F0"/>
        </w:rPr>
        <w:t>t</w:t>
      </w:r>
      <w:r w:rsidRPr="00F1615E">
        <w:rPr>
          <w:rFonts w:ascii="Calibri" w:eastAsia="Calibri" w:hAnsi="Calibri" w:cs="Calibri"/>
          <w:i/>
          <w:color w:val="00B0F0"/>
          <w:spacing w:val="-1"/>
        </w:rPr>
        <w:t>ha</w:t>
      </w:r>
      <w:r w:rsidRPr="00F1615E">
        <w:rPr>
          <w:rFonts w:ascii="Calibri" w:eastAsia="Calibri" w:hAnsi="Calibri" w:cs="Calibri"/>
          <w:i/>
          <w:color w:val="00B0F0"/>
        </w:rPr>
        <w:t>t</w:t>
      </w:r>
      <w:r w:rsidRPr="00F1615E">
        <w:rPr>
          <w:rFonts w:ascii="Calibri" w:eastAsia="Calibri" w:hAnsi="Calibri" w:cs="Calibri"/>
          <w:i/>
          <w:color w:val="00B0F0"/>
          <w:spacing w:val="-4"/>
        </w:rPr>
        <w:t xml:space="preserve"> </w:t>
      </w:r>
      <w:r w:rsidRPr="00F1615E">
        <w:rPr>
          <w:rFonts w:ascii="Calibri" w:eastAsia="Calibri" w:hAnsi="Calibri" w:cs="Calibri"/>
          <w:i/>
          <w:color w:val="00B0F0"/>
        </w:rPr>
        <w:t>m</w:t>
      </w:r>
      <w:r w:rsidRPr="00F1615E">
        <w:rPr>
          <w:rFonts w:ascii="Calibri" w:eastAsia="Calibri" w:hAnsi="Calibri" w:cs="Calibri"/>
          <w:i/>
          <w:color w:val="00B0F0"/>
          <w:spacing w:val="-3"/>
        </w:rPr>
        <w:t>a</w:t>
      </w:r>
      <w:r w:rsidRPr="00F1615E">
        <w:rPr>
          <w:rFonts w:ascii="Calibri" w:eastAsia="Calibri" w:hAnsi="Calibri" w:cs="Calibri"/>
          <w:i/>
          <w:color w:val="00B0F0"/>
        </w:rPr>
        <w:t>y</w:t>
      </w:r>
      <w:r w:rsidRPr="00F1615E">
        <w:rPr>
          <w:rFonts w:ascii="Calibri" w:eastAsia="Calibri" w:hAnsi="Calibri" w:cs="Calibri"/>
          <w:i/>
          <w:color w:val="00B0F0"/>
          <w:spacing w:val="-4"/>
        </w:rPr>
        <w:t xml:space="preserve"> </w:t>
      </w:r>
      <w:r w:rsidRPr="00F1615E">
        <w:rPr>
          <w:rFonts w:ascii="Calibri" w:eastAsia="Calibri" w:hAnsi="Calibri" w:cs="Calibri"/>
          <w:i/>
          <w:color w:val="00B0F0"/>
          <w:spacing w:val="-1"/>
        </w:rPr>
        <w:t>no</w:t>
      </w:r>
      <w:r w:rsidRPr="00F1615E">
        <w:rPr>
          <w:rFonts w:ascii="Calibri" w:eastAsia="Calibri" w:hAnsi="Calibri" w:cs="Calibri"/>
          <w:i/>
          <w:color w:val="00B0F0"/>
        </w:rPr>
        <w:t>t</w:t>
      </w:r>
      <w:r w:rsidRPr="00F1615E">
        <w:rPr>
          <w:rFonts w:ascii="Calibri" w:eastAsia="Calibri" w:hAnsi="Calibri" w:cs="Calibri"/>
          <w:i/>
          <w:color w:val="00B0F0"/>
          <w:spacing w:val="-1"/>
        </w:rPr>
        <w:t xml:space="preserve"> be </w:t>
      </w:r>
      <w:r w:rsidRPr="00F1615E">
        <w:rPr>
          <w:rFonts w:ascii="Calibri" w:eastAsia="Calibri" w:hAnsi="Calibri" w:cs="Calibri"/>
          <w:i/>
          <w:color w:val="00B0F0"/>
        </w:rPr>
        <w:t>f</w:t>
      </w:r>
      <w:r w:rsidRPr="00F1615E">
        <w:rPr>
          <w:rFonts w:ascii="Calibri" w:eastAsia="Calibri" w:hAnsi="Calibri" w:cs="Calibri"/>
          <w:i/>
          <w:color w:val="00B0F0"/>
          <w:spacing w:val="-1"/>
        </w:rPr>
        <w:t>a</w:t>
      </w:r>
      <w:r w:rsidRPr="00F1615E">
        <w:rPr>
          <w:rFonts w:ascii="Calibri" w:eastAsia="Calibri" w:hAnsi="Calibri" w:cs="Calibri"/>
          <w:i/>
          <w:color w:val="00B0F0"/>
        </w:rPr>
        <w:t>mili</w:t>
      </w:r>
      <w:r w:rsidRPr="00F1615E">
        <w:rPr>
          <w:rFonts w:ascii="Calibri" w:eastAsia="Calibri" w:hAnsi="Calibri" w:cs="Calibri"/>
          <w:i/>
          <w:color w:val="00B0F0"/>
          <w:spacing w:val="-1"/>
        </w:rPr>
        <w:t>a</w:t>
      </w:r>
      <w:r w:rsidRPr="00F1615E">
        <w:rPr>
          <w:rFonts w:ascii="Calibri" w:eastAsia="Calibri" w:hAnsi="Calibri" w:cs="Calibri"/>
          <w:i/>
          <w:color w:val="00B0F0"/>
        </w:rPr>
        <w:t>r</w:t>
      </w:r>
      <w:r w:rsidRPr="00F1615E">
        <w:rPr>
          <w:rFonts w:ascii="Calibri" w:eastAsia="Calibri" w:hAnsi="Calibri" w:cs="Calibri"/>
          <w:i/>
          <w:color w:val="00B0F0"/>
          <w:spacing w:val="-5"/>
        </w:rPr>
        <w:t xml:space="preserve"> </w:t>
      </w:r>
      <w:r w:rsidRPr="00F1615E">
        <w:rPr>
          <w:rFonts w:ascii="Calibri" w:eastAsia="Calibri" w:hAnsi="Calibri" w:cs="Calibri"/>
          <w:i/>
          <w:color w:val="00B0F0"/>
        </w:rPr>
        <w:t>to</w:t>
      </w:r>
      <w:r w:rsidRPr="00F1615E">
        <w:rPr>
          <w:rFonts w:ascii="Calibri" w:eastAsia="Calibri" w:hAnsi="Calibri" w:cs="Calibri"/>
          <w:i/>
          <w:color w:val="00B0F0"/>
          <w:spacing w:val="-2"/>
        </w:rPr>
        <w:t xml:space="preserve"> </w:t>
      </w:r>
      <w:r w:rsidRPr="00F1615E">
        <w:rPr>
          <w:rFonts w:ascii="Calibri" w:eastAsia="Calibri" w:hAnsi="Calibri" w:cs="Calibri"/>
          <w:i/>
          <w:color w:val="00B0F0"/>
        </w:rPr>
        <w:t>t</w:t>
      </w:r>
      <w:r w:rsidRPr="00F1615E">
        <w:rPr>
          <w:rFonts w:ascii="Calibri" w:eastAsia="Calibri" w:hAnsi="Calibri" w:cs="Calibri"/>
          <w:i/>
          <w:color w:val="00B0F0"/>
          <w:spacing w:val="-1"/>
        </w:rPr>
        <w:t>h</w:t>
      </w:r>
      <w:r w:rsidRPr="00F1615E">
        <w:rPr>
          <w:rFonts w:ascii="Calibri" w:eastAsia="Calibri" w:hAnsi="Calibri" w:cs="Calibri"/>
          <w:i/>
          <w:color w:val="00B0F0"/>
        </w:rPr>
        <w:t>e</w:t>
      </w:r>
      <w:r w:rsidRPr="00F1615E">
        <w:rPr>
          <w:rFonts w:ascii="Calibri" w:eastAsia="Calibri" w:hAnsi="Calibri" w:cs="Calibri"/>
          <w:i/>
          <w:color w:val="00B0F0"/>
          <w:spacing w:val="-4"/>
        </w:rPr>
        <w:t xml:space="preserve"> </w:t>
      </w:r>
      <w:r w:rsidRPr="00F1615E">
        <w:rPr>
          <w:rFonts w:ascii="Calibri" w:eastAsia="Calibri" w:hAnsi="Calibri" w:cs="Calibri"/>
          <w:i/>
          <w:color w:val="00B0F0"/>
        </w:rPr>
        <w:t>l</w:t>
      </w:r>
      <w:r w:rsidRPr="00F1615E">
        <w:rPr>
          <w:rFonts w:ascii="Calibri" w:eastAsia="Calibri" w:hAnsi="Calibri" w:cs="Calibri"/>
          <w:i/>
          <w:color w:val="00B0F0"/>
          <w:spacing w:val="-1"/>
        </w:rPr>
        <w:t>a</w:t>
      </w:r>
      <w:r w:rsidRPr="00F1615E">
        <w:rPr>
          <w:rFonts w:ascii="Calibri" w:eastAsia="Calibri" w:hAnsi="Calibri" w:cs="Calibri"/>
          <w:i/>
          <w:color w:val="00B0F0"/>
        </w:rPr>
        <w:t>y</w:t>
      </w:r>
      <w:r w:rsidRPr="00F1615E">
        <w:rPr>
          <w:rFonts w:ascii="Calibri" w:eastAsia="Calibri" w:hAnsi="Calibri" w:cs="Calibri"/>
          <w:i/>
          <w:color w:val="00B0F0"/>
          <w:spacing w:val="-2"/>
        </w:rPr>
        <w:t xml:space="preserve"> </w:t>
      </w:r>
      <w:r w:rsidRPr="00F1615E">
        <w:rPr>
          <w:rFonts w:ascii="Calibri" w:eastAsia="Calibri" w:hAnsi="Calibri" w:cs="Calibri"/>
          <w:i/>
          <w:color w:val="00B0F0"/>
          <w:spacing w:val="1"/>
        </w:rPr>
        <w:t>r</w:t>
      </w:r>
      <w:r w:rsidRPr="00F1615E">
        <w:rPr>
          <w:rFonts w:ascii="Calibri" w:eastAsia="Calibri" w:hAnsi="Calibri" w:cs="Calibri"/>
          <w:i/>
          <w:color w:val="00B0F0"/>
        </w:rPr>
        <w:t>e</w:t>
      </w:r>
      <w:r w:rsidRPr="00F1615E">
        <w:rPr>
          <w:rFonts w:ascii="Calibri" w:eastAsia="Calibri" w:hAnsi="Calibri" w:cs="Calibri"/>
          <w:i/>
          <w:color w:val="00B0F0"/>
          <w:spacing w:val="-1"/>
        </w:rPr>
        <w:t>ad</w:t>
      </w:r>
      <w:r w:rsidRPr="00F1615E">
        <w:rPr>
          <w:rFonts w:ascii="Calibri" w:eastAsia="Calibri" w:hAnsi="Calibri" w:cs="Calibri"/>
          <w:i/>
          <w:color w:val="00B0F0"/>
          <w:spacing w:val="-2"/>
        </w:rPr>
        <w:t>e</w:t>
      </w:r>
      <w:r w:rsidRPr="00F1615E">
        <w:rPr>
          <w:rFonts w:ascii="Calibri" w:eastAsia="Calibri" w:hAnsi="Calibri" w:cs="Calibri"/>
          <w:i/>
          <w:color w:val="00B0F0"/>
          <w:spacing w:val="1"/>
        </w:rPr>
        <w:t>r</w:t>
      </w:r>
      <w:r w:rsidRPr="00F1615E">
        <w:rPr>
          <w:rFonts w:ascii="Calibri" w:eastAsia="Calibri" w:hAnsi="Calibri" w:cs="Calibri"/>
          <w:i/>
          <w:color w:val="00B0F0"/>
        </w:rPr>
        <w:t>]</w:t>
      </w:r>
    </w:p>
    <w:p w14:paraId="27D1A33D" w14:textId="77777777" w:rsidR="002F5AE2" w:rsidRDefault="002F5AE2" w:rsidP="00834ECB">
      <w:pPr>
        <w:spacing w:after="0"/>
        <w:ind w:left="360"/>
        <w:rPr>
          <w:b/>
        </w:rPr>
      </w:pPr>
    </w:p>
    <w:p w14:paraId="604F78FE" w14:textId="4EFF7BC0" w:rsidR="00834ECB" w:rsidRDefault="00834ECB" w:rsidP="00AF471D">
      <w:pPr>
        <w:spacing w:after="0" w:line="240" w:lineRule="auto"/>
        <w:ind w:left="360"/>
      </w:pPr>
      <w:r w:rsidRPr="00BE6005">
        <w:rPr>
          <w:b/>
        </w:rPr>
        <w:t>Note:</w:t>
      </w:r>
      <w:r>
        <w:t xml:space="preserve"> </w:t>
      </w:r>
      <w:r w:rsidR="00737EFC">
        <w:t xml:space="preserve">Some </w:t>
      </w:r>
      <w:r>
        <w:t xml:space="preserve">of the definitions above were obtained from the IRBMed Glossary. These definitions were current as of </w:t>
      </w:r>
      <w:r w:rsidR="007F77AD">
        <w:t>01-Oct-2022</w:t>
      </w:r>
      <w:r w:rsidR="002F5AE2">
        <w:t xml:space="preserve"> </w:t>
      </w:r>
      <w:r>
        <w:t xml:space="preserve">and are subject to change. Please see the </w:t>
      </w:r>
      <w:hyperlink r:id="rId11" w:history="1">
        <w:r>
          <w:rPr>
            <w:rStyle w:val="Hyperlink"/>
          </w:rPr>
          <w:t>IRBMed Glossary</w:t>
        </w:r>
      </w:hyperlink>
      <w:r>
        <w:t xml:space="preserve"> for the most current definitions and additional guidance.</w:t>
      </w:r>
    </w:p>
    <w:p w14:paraId="63E1846F" w14:textId="01F026B4" w:rsidR="00834ECB" w:rsidRDefault="00834ECB" w:rsidP="00834ECB">
      <w:pPr>
        <w:spacing w:after="0"/>
        <w:ind w:right="936" w:firstLine="288"/>
        <w:rPr>
          <w:rFonts w:cs="Arial"/>
        </w:rPr>
      </w:pPr>
      <w:r>
        <w:rPr>
          <w:rFonts w:cs="Arial"/>
        </w:rPr>
        <w:t xml:space="preserve"> </w:t>
      </w:r>
      <w:r w:rsidRPr="001C50F2">
        <w:rPr>
          <w:rFonts w:cs="Arial"/>
        </w:rPr>
        <w:t>(</w:t>
      </w:r>
      <w:r w:rsidRPr="001C50F2">
        <w:rPr>
          <w:rFonts w:cs="Arial"/>
          <w:b/>
        </w:rPr>
        <w:t>MANDATORY LANGUAGE</w:t>
      </w:r>
      <w:r w:rsidRPr="001C50F2">
        <w:rPr>
          <w:rFonts w:cs="Arial"/>
        </w:rPr>
        <w:t>)</w:t>
      </w:r>
    </w:p>
    <w:p w14:paraId="3B2EFB3D" w14:textId="77777777" w:rsidR="00DD6A7D" w:rsidRPr="00D03CEF" w:rsidRDefault="00DD6A7D" w:rsidP="007C6FAF">
      <w:pPr>
        <w:widowControl w:val="0"/>
        <w:autoSpaceDE w:val="0"/>
        <w:autoSpaceDN w:val="0"/>
        <w:adjustRightInd w:val="0"/>
        <w:spacing w:after="0" w:line="240" w:lineRule="auto"/>
        <w:ind w:left="360" w:right="720"/>
        <w:rPr>
          <w:rFonts w:cs="Calibri"/>
          <w:spacing w:val="-1"/>
        </w:rPr>
      </w:pPr>
    </w:p>
    <w:p w14:paraId="42988999" w14:textId="64575CA6" w:rsidR="00D03CEF" w:rsidRDefault="00695A12" w:rsidP="00D03CEF">
      <w:pPr>
        <w:pStyle w:val="ListParagraph"/>
        <w:numPr>
          <w:ilvl w:val="0"/>
          <w:numId w:val="1"/>
        </w:numPr>
        <w:spacing w:after="0"/>
        <w:ind w:right="720"/>
        <w:rPr>
          <w:b/>
        </w:rPr>
      </w:pPr>
      <w:r w:rsidRPr="00695A12">
        <w:rPr>
          <w:b/>
        </w:rPr>
        <w:t>ROLES AND RESPONSIBILITIES</w:t>
      </w:r>
    </w:p>
    <w:p w14:paraId="62C711AF" w14:textId="77777777" w:rsidR="00E00FEC" w:rsidRPr="006F0AFD" w:rsidRDefault="00E00FEC" w:rsidP="00834ECB">
      <w:pPr>
        <w:pStyle w:val="ListParagraph"/>
        <w:spacing w:after="0"/>
        <w:ind w:left="360" w:right="720"/>
        <w:rPr>
          <w:b/>
        </w:rPr>
      </w:pPr>
    </w:p>
    <w:p w14:paraId="59F92F59" w14:textId="32451EDC" w:rsidR="00703B96" w:rsidRPr="00834ECB" w:rsidRDefault="00703B96" w:rsidP="00267A0D">
      <w:pPr>
        <w:pStyle w:val="NoSpacing"/>
        <w:tabs>
          <w:tab w:val="left" w:pos="1080"/>
        </w:tabs>
        <w:ind w:left="360" w:right="720"/>
        <w:rPr>
          <w:b/>
        </w:rPr>
      </w:pPr>
      <w:r w:rsidRPr="00834ECB">
        <w:rPr>
          <w:b/>
        </w:rPr>
        <w:t>Principal Investigator/Designee</w:t>
      </w:r>
    </w:p>
    <w:p w14:paraId="536D971B" w14:textId="6964EBFE" w:rsidR="00267A0D" w:rsidRDefault="00267A0D" w:rsidP="00267A0D">
      <w:pPr>
        <w:pStyle w:val="NoSpacing"/>
        <w:tabs>
          <w:tab w:val="left" w:pos="1080"/>
        </w:tabs>
        <w:ind w:left="360" w:right="720"/>
      </w:pPr>
      <w:r>
        <w:t xml:space="preserve">An individual filling the role of Principal Investigator (PI) </w:t>
      </w:r>
      <w:r w:rsidR="003300F3">
        <w:t xml:space="preserve">is </w:t>
      </w:r>
      <w:r w:rsidR="00737EFC">
        <w:t xml:space="preserve">ultimately </w:t>
      </w:r>
      <w:r w:rsidR="003300F3" w:rsidRPr="00274222">
        <w:rPr>
          <w:i/>
        </w:rPr>
        <w:t>responsible</w:t>
      </w:r>
      <w:r w:rsidR="003300F3">
        <w:t xml:space="preserve"> for conducting a clinical trial in compliance with the protocol and regulatory requirements</w:t>
      </w:r>
      <w:r w:rsidR="00D1286C">
        <w:t xml:space="preserve">. </w:t>
      </w:r>
      <w:r>
        <w:t xml:space="preserve">The PI shall be responsible for the following activities: </w:t>
      </w:r>
    </w:p>
    <w:p w14:paraId="0EDE903C" w14:textId="7A774850" w:rsidR="008D2236" w:rsidRDefault="008D2236" w:rsidP="00596154">
      <w:pPr>
        <w:pStyle w:val="NoSpacing"/>
        <w:numPr>
          <w:ilvl w:val="0"/>
          <w:numId w:val="9"/>
        </w:numPr>
        <w:tabs>
          <w:tab w:val="left" w:pos="1080"/>
        </w:tabs>
        <w:ind w:left="1080" w:right="720"/>
      </w:pPr>
      <w:r>
        <w:t>Ensures the clinical trial is monitored</w:t>
      </w:r>
      <w:r w:rsidR="004C24AC">
        <w:t xml:space="preserve"> (when applicable)</w:t>
      </w:r>
      <w:r>
        <w:t xml:space="preserve"> by qualified per</w:t>
      </w:r>
      <w:r w:rsidR="00596154">
        <w:t xml:space="preserve">sonnel </w:t>
      </w:r>
    </w:p>
    <w:p w14:paraId="4B6D7767" w14:textId="7EC0F465" w:rsidR="006E62D9" w:rsidRPr="00DA0483" w:rsidRDefault="00A00940" w:rsidP="00DA0483">
      <w:pPr>
        <w:pStyle w:val="NoSpacing"/>
        <w:numPr>
          <w:ilvl w:val="0"/>
          <w:numId w:val="9"/>
        </w:numPr>
        <w:tabs>
          <w:tab w:val="left" w:pos="1080"/>
        </w:tabs>
        <w:ind w:left="1080" w:right="720"/>
      </w:pPr>
      <w:r>
        <w:t xml:space="preserve">Works with the </w:t>
      </w:r>
      <w:r w:rsidR="00013F32">
        <w:t>clinical trial</w:t>
      </w:r>
      <w:r>
        <w:t xml:space="preserve"> monitor to implement a monitoring plan</w:t>
      </w:r>
      <w:r w:rsidR="004C24AC">
        <w:t xml:space="preserve"> (when applicable)</w:t>
      </w:r>
    </w:p>
    <w:p w14:paraId="08FA2A49" w14:textId="5E70613D" w:rsidR="00E959E1" w:rsidRDefault="00DD6A7D" w:rsidP="00DA0483">
      <w:pPr>
        <w:pStyle w:val="NoSpacing"/>
        <w:numPr>
          <w:ilvl w:val="0"/>
          <w:numId w:val="9"/>
        </w:numPr>
        <w:tabs>
          <w:tab w:val="left" w:pos="1080"/>
        </w:tabs>
        <w:ind w:left="1080" w:right="720"/>
      </w:pPr>
      <w:r>
        <w:t>Ensures</w:t>
      </w:r>
      <w:r w:rsidR="003300F3">
        <w:t xml:space="preserve"> the availability </w:t>
      </w:r>
      <w:r w:rsidR="00013F32">
        <w:t>of clinical trial</w:t>
      </w:r>
      <w:r w:rsidR="002A46FC">
        <w:t xml:space="preserve"> documentation</w:t>
      </w:r>
      <w:r w:rsidR="00013F32">
        <w:t xml:space="preserve"> for the monitor and auditor’s </w:t>
      </w:r>
      <w:r w:rsidR="003300F3">
        <w:t>review</w:t>
      </w:r>
    </w:p>
    <w:p w14:paraId="117D91FE" w14:textId="1D339A86" w:rsidR="00602F73" w:rsidRDefault="003752D3" w:rsidP="00596154">
      <w:pPr>
        <w:pStyle w:val="NoSpacing"/>
        <w:numPr>
          <w:ilvl w:val="0"/>
          <w:numId w:val="9"/>
        </w:numPr>
        <w:tabs>
          <w:tab w:val="left" w:pos="1080"/>
        </w:tabs>
        <w:ind w:left="1080" w:right="720"/>
      </w:pPr>
      <w:r>
        <w:t xml:space="preserve">Acknowledges and responds </w:t>
      </w:r>
      <w:r w:rsidR="00952888">
        <w:t>to all</w:t>
      </w:r>
      <w:r w:rsidR="008C3963">
        <w:t xml:space="preserve"> questions</w:t>
      </w:r>
      <w:r>
        <w:t>, queries,</w:t>
      </w:r>
      <w:r w:rsidR="00462E34">
        <w:t xml:space="preserve"> an</w:t>
      </w:r>
      <w:r w:rsidR="00B3663F">
        <w:t>d</w:t>
      </w:r>
      <w:r w:rsidR="00462E34">
        <w:t xml:space="preserve"> </w:t>
      </w:r>
      <w:r w:rsidR="008C3963">
        <w:t>concerns</w:t>
      </w:r>
      <w:r w:rsidR="00602F73">
        <w:t xml:space="preserve"> </w:t>
      </w:r>
      <w:r w:rsidR="008C3963">
        <w:t xml:space="preserve">identified </w:t>
      </w:r>
      <w:r w:rsidR="00B3663F">
        <w:t>during the visit</w:t>
      </w:r>
      <w:r w:rsidR="00E13643">
        <w:t xml:space="preserve"> with the monitor</w:t>
      </w:r>
    </w:p>
    <w:p w14:paraId="612B4228" w14:textId="1A208F41" w:rsidR="00E13643" w:rsidRDefault="00E13643" w:rsidP="00596154">
      <w:pPr>
        <w:pStyle w:val="NoSpacing"/>
        <w:numPr>
          <w:ilvl w:val="0"/>
          <w:numId w:val="9"/>
        </w:numPr>
        <w:tabs>
          <w:tab w:val="left" w:pos="1080"/>
        </w:tabs>
        <w:ind w:left="1080" w:right="720"/>
      </w:pPr>
      <w:r>
        <w:t xml:space="preserve">Ensures copies of correspondence with </w:t>
      </w:r>
      <w:r w:rsidR="008F5D01">
        <w:t>m</w:t>
      </w:r>
      <w:r>
        <w:t xml:space="preserve">onitor and </w:t>
      </w:r>
      <w:r w:rsidR="008F5D01">
        <w:t>s</w:t>
      </w:r>
      <w:r>
        <w:t>ponsor are maintained in study records</w:t>
      </w:r>
      <w:r w:rsidRPr="00DA0483">
        <w:t xml:space="preserve"> </w:t>
      </w:r>
    </w:p>
    <w:p w14:paraId="15A1CF7B" w14:textId="461B14D7" w:rsidR="003300F3" w:rsidRDefault="00E959E1" w:rsidP="00596154">
      <w:pPr>
        <w:pStyle w:val="NoSpacing"/>
        <w:numPr>
          <w:ilvl w:val="0"/>
          <w:numId w:val="9"/>
        </w:numPr>
        <w:tabs>
          <w:tab w:val="left" w:pos="1080"/>
        </w:tabs>
        <w:ind w:left="1080" w:right="720"/>
      </w:pPr>
      <w:r w:rsidRPr="00DA0483">
        <w:t>Ensures c</w:t>
      </w:r>
      <w:r w:rsidR="00845746" w:rsidRPr="00DA0483">
        <w:t>opies of all written correspondence received and sent to</w:t>
      </w:r>
      <w:r w:rsidR="00D1286C" w:rsidRPr="00DA0483">
        <w:t xml:space="preserve"> </w:t>
      </w:r>
      <w:r w:rsidR="006E01CC" w:rsidRPr="00DA0483">
        <w:t>external</w:t>
      </w:r>
      <w:r w:rsidRPr="00DA0483">
        <w:t xml:space="preserve"> </w:t>
      </w:r>
      <w:r w:rsidR="006E01CC" w:rsidRPr="00DA0483">
        <w:t>oversight entit</w:t>
      </w:r>
      <w:r w:rsidR="00B3663F" w:rsidRPr="00DA0483">
        <w:t>ies</w:t>
      </w:r>
      <w:r w:rsidR="00D1286C" w:rsidRPr="00DA0483">
        <w:t xml:space="preserve"> </w:t>
      </w:r>
      <w:r w:rsidR="00B3663F" w:rsidRPr="00DA0483">
        <w:t>are</w:t>
      </w:r>
      <w:r w:rsidR="00845746" w:rsidRPr="00DA0483">
        <w:t xml:space="preserve"> submitted to</w:t>
      </w:r>
      <w:r w:rsidR="006E01CC" w:rsidRPr="00DA0483">
        <w:t xml:space="preserve"> </w:t>
      </w:r>
      <w:r w:rsidR="00845746" w:rsidRPr="00DA0483">
        <w:t>the</w:t>
      </w:r>
      <w:r w:rsidR="00D1286C" w:rsidRPr="00DA0483">
        <w:t xml:space="preserve"> </w:t>
      </w:r>
      <w:r w:rsidR="00845746" w:rsidRPr="00DA0483">
        <w:t>IRB Committee</w:t>
      </w:r>
    </w:p>
    <w:p w14:paraId="1893B98F" w14:textId="22F8F307" w:rsidR="00737EFC" w:rsidRPr="00DA0483" w:rsidRDefault="003B37CA" w:rsidP="00596154">
      <w:pPr>
        <w:pStyle w:val="NoSpacing"/>
        <w:numPr>
          <w:ilvl w:val="0"/>
          <w:numId w:val="9"/>
        </w:numPr>
        <w:tabs>
          <w:tab w:val="left" w:pos="1080"/>
        </w:tabs>
        <w:ind w:left="1080" w:right="720"/>
      </w:pPr>
      <w:r>
        <w:t>Delegates</w:t>
      </w:r>
      <w:r w:rsidR="00434D26">
        <w:t xml:space="preserve"> responsibilities when appropriate</w:t>
      </w:r>
    </w:p>
    <w:p w14:paraId="3E401B1E" w14:textId="77777777" w:rsidR="00931998" w:rsidRPr="00931998" w:rsidRDefault="00931998" w:rsidP="00931998">
      <w:pPr>
        <w:spacing w:after="0" w:line="240" w:lineRule="auto"/>
        <w:ind w:right="936" w:firstLine="360"/>
        <w:rPr>
          <w:rFonts w:ascii="Calibri" w:eastAsia="Calibri" w:hAnsi="Calibri" w:cs="Calibri"/>
        </w:rPr>
      </w:pPr>
      <w:r w:rsidRPr="00931998">
        <w:rPr>
          <w:rFonts w:cs="Arial"/>
        </w:rPr>
        <w:t>(</w:t>
      </w:r>
      <w:r w:rsidRPr="00931998">
        <w:rPr>
          <w:rFonts w:cs="Arial"/>
          <w:b/>
        </w:rPr>
        <w:t>MANDATORY LANGUAGE</w:t>
      </w:r>
      <w:r w:rsidRPr="00931998">
        <w:rPr>
          <w:rFonts w:cs="Arial"/>
        </w:rPr>
        <w:t>)</w:t>
      </w:r>
    </w:p>
    <w:p w14:paraId="48123832" w14:textId="77777777" w:rsidR="00CD4DCF" w:rsidRDefault="00CD4DCF" w:rsidP="00267A0D">
      <w:pPr>
        <w:widowControl w:val="0"/>
        <w:autoSpaceDE w:val="0"/>
        <w:autoSpaceDN w:val="0"/>
        <w:adjustRightInd w:val="0"/>
        <w:spacing w:after="0" w:line="240" w:lineRule="auto"/>
        <w:ind w:left="360" w:right="720"/>
        <w:rPr>
          <w:rFonts w:cs="Calibri"/>
          <w:i/>
          <w:color w:val="00B0F0"/>
        </w:rPr>
      </w:pPr>
    </w:p>
    <w:p w14:paraId="44B44483" w14:textId="12E89C40" w:rsidR="00267A0D" w:rsidRDefault="00267A0D" w:rsidP="00267A0D">
      <w:pPr>
        <w:widowControl w:val="0"/>
        <w:autoSpaceDE w:val="0"/>
        <w:autoSpaceDN w:val="0"/>
        <w:adjustRightInd w:val="0"/>
        <w:spacing w:after="0" w:line="240" w:lineRule="auto"/>
        <w:ind w:left="360" w:right="720"/>
        <w:rPr>
          <w:rFonts w:cs="Calibri"/>
          <w:color w:val="00B0F0"/>
        </w:rPr>
      </w:pPr>
      <w:r w:rsidRPr="0024775D">
        <w:rPr>
          <w:rFonts w:cs="Calibri"/>
          <w:i/>
          <w:color w:val="00B0F0"/>
        </w:rPr>
        <w:t>[</w:t>
      </w:r>
      <w:r>
        <w:rPr>
          <w:rFonts w:cs="Calibri"/>
          <w:i/>
          <w:color w:val="00B0F0"/>
        </w:rPr>
        <w:t xml:space="preserve">Optional: Insert any additional </w:t>
      </w:r>
      <w:r w:rsidRPr="0024775D">
        <w:rPr>
          <w:rFonts w:cs="Calibri"/>
          <w:i/>
          <w:color w:val="00B0F0"/>
        </w:rPr>
        <w:t>details regarding the responsibi</w:t>
      </w:r>
      <w:r>
        <w:rPr>
          <w:rFonts w:cs="Calibri"/>
          <w:i/>
          <w:color w:val="00B0F0"/>
        </w:rPr>
        <w:t>lities of the Principal Investigator/Designee</w:t>
      </w:r>
      <w:r>
        <w:rPr>
          <w:rFonts w:cs="Calibri"/>
          <w:color w:val="00B0F0"/>
        </w:rPr>
        <w:t>]</w:t>
      </w:r>
    </w:p>
    <w:p w14:paraId="00BF0B8F" w14:textId="77777777" w:rsidR="00771849" w:rsidRDefault="00771849" w:rsidP="00267A0D">
      <w:pPr>
        <w:widowControl w:val="0"/>
        <w:autoSpaceDE w:val="0"/>
        <w:autoSpaceDN w:val="0"/>
        <w:adjustRightInd w:val="0"/>
        <w:spacing w:after="0" w:line="240" w:lineRule="auto"/>
        <w:ind w:left="360" w:right="720"/>
        <w:rPr>
          <w:rFonts w:cs="Calibri"/>
          <w:color w:val="00B0F0"/>
        </w:rPr>
      </w:pPr>
    </w:p>
    <w:p w14:paraId="05A61CE3" w14:textId="77777777" w:rsidR="00267A0D" w:rsidRPr="006014E7" w:rsidRDefault="00267A0D" w:rsidP="00267A0D">
      <w:pPr>
        <w:autoSpaceDE w:val="0"/>
        <w:autoSpaceDN w:val="0"/>
        <w:adjustRightInd w:val="0"/>
        <w:spacing w:after="0" w:line="240" w:lineRule="auto"/>
        <w:ind w:left="360"/>
        <w:rPr>
          <w:b/>
        </w:rPr>
      </w:pPr>
      <w:r w:rsidRPr="006014E7">
        <w:rPr>
          <w:b/>
        </w:rPr>
        <w:lastRenderedPageBreak/>
        <w:t>Study Coordinator</w:t>
      </w:r>
      <w:r>
        <w:rPr>
          <w:b/>
        </w:rPr>
        <w:t>(s)</w:t>
      </w:r>
      <w:r w:rsidRPr="006014E7">
        <w:rPr>
          <w:b/>
        </w:rPr>
        <w:t>/Designee</w:t>
      </w:r>
    </w:p>
    <w:p w14:paraId="50AEDFF9" w14:textId="679982BD" w:rsidR="00267A0D" w:rsidRDefault="00267A0D" w:rsidP="00267A0D">
      <w:pPr>
        <w:autoSpaceDE w:val="0"/>
        <w:autoSpaceDN w:val="0"/>
        <w:adjustRightInd w:val="0"/>
        <w:spacing w:after="0" w:line="240" w:lineRule="auto"/>
        <w:ind w:left="360"/>
        <w:rPr>
          <w:rFonts w:cstheme="minorHAnsi"/>
          <w:b/>
        </w:rPr>
      </w:pPr>
      <w:r w:rsidRPr="00893A96">
        <w:t xml:space="preserve">An individual filling </w:t>
      </w:r>
      <w:r>
        <w:t xml:space="preserve">this role </w:t>
      </w:r>
      <w:r>
        <w:rPr>
          <w:rFonts w:cstheme="minorHAnsi"/>
        </w:rPr>
        <w:t>may be responsible for the following activities:</w:t>
      </w:r>
      <w:r w:rsidR="00D1286C">
        <w:rPr>
          <w:rFonts w:cstheme="minorHAnsi"/>
        </w:rPr>
        <w:t xml:space="preserve"> </w:t>
      </w:r>
    </w:p>
    <w:p w14:paraId="4BE3C7B2" w14:textId="54BBD430" w:rsidR="00197C8C" w:rsidRDefault="00013F32" w:rsidP="00DA0483">
      <w:pPr>
        <w:pStyle w:val="NoSpacing"/>
        <w:numPr>
          <w:ilvl w:val="0"/>
          <w:numId w:val="9"/>
        </w:numPr>
        <w:tabs>
          <w:tab w:val="left" w:pos="1080"/>
        </w:tabs>
        <w:ind w:left="1080" w:right="720"/>
      </w:pPr>
      <w:r>
        <w:t>Reviews the clinical trial protocol and other clinical trial</w:t>
      </w:r>
      <w:r w:rsidR="00197C8C">
        <w:t xml:space="preserve"> documentation</w:t>
      </w:r>
      <w:r w:rsidR="00D2053A">
        <w:t xml:space="preserve"> in preparation for monitoring visit </w:t>
      </w:r>
    </w:p>
    <w:p w14:paraId="015E0281" w14:textId="7CA6F7DD" w:rsidR="00F018BE" w:rsidRDefault="00197C8C" w:rsidP="00596154">
      <w:pPr>
        <w:pStyle w:val="NoSpacing"/>
        <w:numPr>
          <w:ilvl w:val="0"/>
          <w:numId w:val="9"/>
        </w:numPr>
        <w:tabs>
          <w:tab w:val="left" w:pos="1080"/>
        </w:tabs>
        <w:ind w:left="1080" w:right="720"/>
      </w:pPr>
      <w:r>
        <w:t>Ensures</w:t>
      </w:r>
      <w:r w:rsidR="00F018BE">
        <w:t xml:space="preserve"> all</w:t>
      </w:r>
      <w:r w:rsidR="00E13643">
        <w:t xml:space="preserve"> study documentation and</w:t>
      </w:r>
      <w:r w:rsidR="00F018BE">
        <w:t xml:space="preserve"> regulatory materials are up-to-date</w:t>
      </w:r>
      <w:r w:rsidR="00D2053A">
        <w:t xml:space="preserve"> and available</w:t>
      </w:r>
    </w:p>
    <w:p w14:paraId="2C7FD225" w14:textId="09B98532" w:rsidR="000A1425" w:rsidRDefault="000A1425" w:rsidP="00596154">
      <w:pPr>
        <w:pStyle w:val="NoSpacing"/>
        <w:numPr>
          <w:ilvl w:val="0"/>
          <w:numId w:val="9"/>
        </w:numPr>
        <w:tabs>
          <w:tab w:val="left" w:pos="1080"/>
        </w:tabs>
        <w:ind w:left="1080" w:right="720"/>
      </w:pPr>
      <w:r>
        <w:t>Ensures AEs/SAEs</w:t>
      </w:r>
      <w:r w:rsidR="00DE79A8">
        <w:t xml:space="preserve">, UaPs, </w:t>
      </w:r>
      <w:r>
        <w:t>deviations</w:t>
      </w:r>
      <w:r w:rsidR="00DE79A8">
        <w:t>, and any other ORIOs</w:t>
      </w:r>
      <w:r>
        <w:t xml:space="preserve"> have been documented and reported per protocol</w:t>
      </w:r>
    </w:p>
    <w:p w14:paraId="5FD3D03B" w14:textId="77E69299" w:rsidR="00771849" w:rsidRDefault="00771849" w:rsidP="00596154">
      <w:pPr>
        <w:pStyle w:val="NoSpacing"/>
        <w:numPr>
          <w:ilvl w:val="0"/>
          <w:numId w:val="9"/>
        </w:numPr>
        <w:tabs>
          <w:tab w:val="left" w:pos="1080"/>
        </w:tabs>
        <w:ind w:left="1080" w:right="720"/>
      </w:pPr>
      <w:r>
        <w:t>Ensures data entry into the study database is completed prior to the monitor’s arrival</w:t>
      </w:r>
    </w:p>
    <w:p w14:paraId="12412F96" w14:textId="2210BD8E" w:rsidR="00197C8C" w:rsidRDefault="004B68EE" w:rsidP="00DA0483">
      <w:pPr>
        <w:pStyle w:val="NoSpacing"/>
        <w:numPr>
          <w:ilvl w:val="0"/>
          <w:numId w:val="9"/>
        </w:numPr>
        <w:tabs>
          <w:tab w:val="left" w:pos="1080"/>
        </w:tabs>
        <w:ind w:left="1080" w:right="720"/>
      </w:pPr>
      <w:r>
        <w:t xml:space="preserve">Schedules </w:t>
      </w:r>
      <w:r w:rsidR="00E17087">
        <w:t>and secures</w:t>
      </w:r>
      <w:r w:rsidR="00197C8C">
        <w:t xml:space="preserve"> physical space</w:t>
      </w:r>
      <w:r w:rsidR="000A1425">
        <w:t xml:space="preserve"> and equipment</w:t>
      </w:r>
      <w:r w:rsidR="00197C8C">
        <w:t xml:space="preserve"> for the monitor </w:t>
      </w:r>
      <w:r w:rsidR="00582C73">
        <w:t>or auditor</w:t>
      </w:r>
      <w:r w:rsidR="00E17087">
        <w:t xml:space="preserve"> for onsite monitoring/audit visits</w:t>
      </w:r>
    </w:p>
    <w:p w14:paraId="499DF8C8" w14:textId="5444C3EF" w:rsidR="00197C8C" w:rsidRDefault="00197C8C" w:rsidP="00DA0483">
      <w:pPr>
        <w:pStyle w:val="NoSpacing"/>
        <w:numPr>
          <w:ilvl w:val="0"/>
          <w:numId w:val="9"/>
        </w:numPr>
        <w:tabs>
          <w:tab w:val="left" w:pos="1080"/>
        </w:tabs>
        <w:ind w:left="1080" w:right="720"/>
      </w:pPr>
      <w:r>
        <w:t>Ensures applicable staff are available to the monitor</w:t>
      </w:r>
      <w:r w:rsidR="00DE5917">
        <w:t>/auditor</w:t>
      </w:r>
      <w:r>
        <w:t xml:space="preserve"> during the visit</w:t>
      </w:r>
    </w:p>
    <w:p w14:paraId="5EC16335" w14:textId="741656E4" w:rsidR="00BB5A4F" w:rsidRDefault="00013F32" w:rsidP="00DA0483">
      <w:pPr>
        <w:pStyle w:val="NoSpacing"/>
        <w:numPr>
          <w:ilvl w:val="0"/>
          <w:numId w:val="9"/>
        </w:numPr>
        <w:tabs>
          <w:tab w:val="left" w:pos="1080"/>
        </w:tabs>
        <w:ind w:left="1080" w:right="720"/>
      </w:pPr>
      <w:r>
        <w:t>Coordinates visits to the clinical trial</w:t>
      </w:r>
      <w:r w:rsidR="00F21E2B">
        <w:t xml:space="preserve"> pharmacy and lab, when applicable</w:t>
      </w:r>
    </w:p>
    <w:p w14:paraId="47C78F82" w14:textId="261BAE8A" w:rsidR="00F2450F" w:rsidRDefault="00013F32" w:rsidP="00E768B3">
      <w:pPr>
        <w:pStyle w:val="NoSpacing"/>
        <w:numPr>
          <w:ilvl w:val="0"/>
          <w:numId w:val="9"/>
        </w:numPr>
        <w:tabs>
          <w:tab w:val="left" w:pos="1080"/>
        </w:tabs>
        <w:ind w:left="1080" w:right="720"/>
      </w:pPr>
      <w:r>
        <w:t>Works with research</w:t>
      </w:r>
      <w:r w:rsidR="00D2053A">
        <w:t xml:space="preserve"> team members to provide</w:t>
      </w:r>
      <w:r w:rsidR="00F2450F">
        <w:t xml:space="preserve"> responses to all </w:t>
      </w:r>
      <w:r w:rsidR="00D2053A">
        <w:t xml:space="preserve">monitoring/audit </w:t>
      </w:r>
      <w:r w:rsidR="00F2450F">
        <w:t xml:space="preserve">queries </w:t>
      </w:r>
      <w:r w:rsidR="00F76887">
        <w:t>and reports</w:t>
      </w:r>
    </w:p>
    <w:p w14:paraId="0F03A240" w14:textId="05751E2E" w:rsidR="000A1425" w:rsidRDefault="000A1425" w:rsidP="00E768B3">
      <w:pPr>
        <w:pStyle w:val="NoSpacing"/>
        <w:numPr>
          <w:ilvl w:val="0"/>
          <w:numId w:val="9"/>
        </w:numPr>
        <w:tabs>
          <w:tab w:val="left" w:pos="1080"/>
        </w:tabs>
        <w:ind w:left="1080" w:right="720"/>
      </w:pPr>
      <w:r>
        <w:t>Request monitoring access to the Electronic Medical Record (EMR) if necessary</w:t>
      </w:r>
    </w:p>
    <w:p w14:paraId="3D1A9831" w14:textId="77777777" w:rsidR="00274222" w:rsidRDefault="00E13643" w:rsidP="003B37CA">
      <w:pPr>
        <w:pStyle w:val="NoSpacing"/>
        <w:numPr>
          <w:ilvl w:val="0"/>
          <w:numId w:val="9"/>
        </w:numPr>
        <w:tabs>
          <w:tab w:val="left" w:pos="1080"/>
        </w:tabs>
        <w:ind w:left="1080" w:right="720"/>
      </w:pPr>
      <w:r>
        <w:t xml:space="preserve">Provides documentation </w:t>
      </w:r>
      <w:r w:rsidR="003B37CA">
        <w:t xml:space="preserve">to verify that </w:t>
      </w:r>
      <w:r>
        <w:t xml:space="preserve">all monitoring items have been </w:t>
      </w:r>
      <w:r w:rsidR="00814C62">
        <w:t>addressed</w:t>
      </w:r>
      <w:r>
        <w:t xml:space="preserve"> </w:t>
      </w:r>
    </w:p>
    <w:p w14:paraId="1D93566D" w14:textId="1634635E" w:rsidR="00C64F55" w:rsidRDefault="008A6439" w:rsidP="003B37CA">
      <w:pPr>
        <w:pStyle w:val="NoSpacing"/>
        <w:numPr>
          <w:ilvl w:val="0"/>
          <w:numId w:val="9"/>
        </w:numPr>
        <w:tabs>
          <w:tab w:val="left" w:pos="1080"/>
        </w:tabs>
        <w:ind w:left="1080" w:right="720"/>
      </w:pPr>
      <w:r>
        <w:t xml:space="preserve">Submits </w:t>
      </w:r>
      <w:r w:rsidR="00962DF9">
        <w:t xml:space="preserve">all </w:t>
      </w:r>
      <w:r w:rsidR="00C64F55">
        <w:t>monitoring</w:t>
      </w:r>
      <w:r>
        <w:t xml:space="preserve"> and/or auditing</w:t>
      </w:r>
      <w:r w:rsidR="00C64F55">
        <w:t xml:space="preserve"> report</w:t>
      </w:r>
      <w:r w:rsidR="00962DF9">
        <w:t xml:space="preserve">s/summaries </w:t>
      </w:r>
      <w:r w:rsidR="00C64F55">
        <w:t xml:space="preserve">to the IRB </w:t>
      </w:r>
    </w:p>
    <w:p w14:paraId="48832139" w14:textId="77777777" w:rsidR="00931998" w:rsidRPr="00931998" w:rsidRDefault="00931998" w:rsidP="00931998">
      <w:pPr>
        <w:spacing w:after="0" w:line="240" w:lineRule="auto"/>
        <w:ind w:right="936" w:firstLine="360"/>
        <w:rPr>
          <w:rFonts w:ascii="Calibri" w:eastAsia="Calibri" w:hAnsi="Calibri" w:cs="Calibri"/>
        </w:rPr>
      </w:pPr>
      <w:r w:rsidRPr="00931998">
        <w:rPr>
          <w:rFonts w:cs="Arial"/>
        </w:rPr>
        <w:t>(</w:t>
      </w:r>
      <w:r w:rsidRPr="00931998">
        <w:rPr>
          <w:rFonts w:cs="Arial"/>
          <w:b/>
        </w:rPr>
        <w:t>MANDATORY LANGUAGE</w:t>
      </w:r>
      <w:r w:rsidRPr="00931998">
        <w:rPr>
          <w:rFonts w:cs="Arial"/>
        </w:rPr>
        <w:t>)</w:t>
      </w:r>
    </w:p>
    <w:p w14:paraId="0C22DE0D" w14:textId="77777777" w:rsidR="00267A0D" w:rsidRDefault="00267A0D" w:rsidP="002D3111">
      <w:pPr>
        <w:widowControl w:val="0"/>
        <w:autoSpaceDE w:val="0"/>
        <w:autoSpaceDN w:val="0"/>
        <w:adjustRightInd w:val="0"/>
        <w:spacing w:after="0" w:line="240" w:lineRule="auto"/>
        <w:ind w:right="720"/>
        <w:rPr>
          <w:rFonts w:cs="Calibri"/>
          <w:i/>
          <w:color w:val="00B0F0"/>
        </w:rPr>
      </w:pPr>
    </w:p>
    <w:p w14:paraId="400E6867" w14:textId="77777777" w:rsidR="00267A0D" w:rsidRPr="00B068E2" w:rsidRDefault="00267A0D" w:rsidP="00267A0D">
      <w:pPr>
        <w:widowControl w:val="0"/>
        <w:autoSpaceDE w:val="0"/>
        <w:autoSpaceDN w:val="0"/>
        <w:adjustRightInd w:val="0"/>
        <w:spacing w:after="0" w:line="240" w:lineRule="auto"/>
        <w:ind w:left="360" w:right="720"/>
        <w:rPr>
          <w:rFonts w:cs="Calibri"/>
          <w:i/>
          <w:color w:val="00B0F0"/>
        </w:rPr>
      </w:pPr>
      <w:r w:rsidRPr="0024775D">
        <w:rPr>
          <w:rFonts w:cs="Calibri"/>
          <w:i/>
          <w:color w:val="00B0F0"/>
        </w:rPr>
        <w:t>[</w:t>
      </w:r>
      <w:r>
        <w:rPr>
          <w:rFonts w:cs="Calibri"/>
          <w:i/>
          <w:color w:val="00B0F0"/>
        </w:rPr>
        <w:t xml:space="preserve">Optional: Insert any additional </w:t>
      </w:r>
      <w:r w:rsidRPr="0024775D">
        <w:rPr>
          <w:rFonts w:cs="Calibri"/>
          <w:i/>
          <w:color w:val="00B0F0"/>
        </w:rPr>
        <w:t>details regarding the responsibi</w:t>
      </w:r>
      <w:r>
        <w:rPr>
          <w:rFonts w:cs="Calibri"/>
          <w:i/>
          <w:color w:val="00B0F0"/>
        </w:rPr>
        <w:t>lities of the Study Coordinator/Designee</w:t>
      </w:r>
      <w:r>
        <w:rPr>
          <w:rFonts w:cs="Calibri"/>
          <w:color w:val="00B0F0"/>
        </w:rPr>
        <w:t>]</w:t>
      </w:r>
    </w:p>
    <w:p w14:paraId="5C460372" w14:textId="77777777" w:rsidR="00267A0D" w:rsidRDefault="00267A0D" w:rsidP="006B34A3">
      <w:pPr>
        <w:spacing w:before="41" w:after="0" w:line="240" w:lineRule="auto"/>
        <w:ind w:right="720"/>
        <w:rPr>
          <w:rFonts w:ascii="Calibri" w:eastAsia="Calibri" w:hAnsi="Calibri" w:cs="Calibri"/>
          <w:color w:val="00B0F0"/>
        </w:rPr>
      </w:pPr>
    </w:p>
    <w:p w14:paraId="49F29701" w14:textId="77777777" w:rsidR="00267A0D" w:rsidRDefault="00267A0D" w:rsidP="00267A0D">
      <w:pPr>
        <w:widowControl w:val="0"/>
        <w:autoSpaceDE w:val="0"/>
        <w:autoSpaceDN w:val="0"/>
        <w:adjustRightInd w:val="0"/>
        <w:spacing w:after="0" w:line="239" w:lineRule="auto"/>
        <w:ind w:left="360" w:right="720"/>
        <w:rPr>
          <w:rFonts w:cs="Calibri"/>
        </w:rPr>
      </w:pPr>
      <w:r w:rsidRPr="0036247C">
        <w:rPr>
          <w:rFonts w:cs="Calibri"/>
          <w:b/>
        </w:rPr>
        <w:t>Ad</w:t>
      </w:r>
      <w:r>
        <w:rPr>
          <w:rFonts w:cs="Calibri"/>
          <w:b/>
        </w:rPr>
        <w:t>ditional Roles and Responsibilities</w:t>
      </w:r>
      <w:r>
        <w:rPr>
          <w:rFonts w:cs="Calibri"/>
        </w:rPr>
        <w:tab/>
      </w:r>
      <w:r>
        <w:rPr>
          <w:rFonts w:cs="Calibri"/>
        </w:rPr>
        <w:tab/>
      </w:r>
      <w:r w:rsidRPr="0026204C">
        <w:rPr>
          <w:rFonts w:cs="Calibri"/>
          <w:b/>
        </w:rPr>
        <w:t xml:space="preserve"> </w:t>
      </w:r>
      <w:sdt>
        <w:sdtPr>
          <w:rPr>
            <w:rFonts w:cs="Calibri"/>
            <w:b/>
          </w:rPr>
          <w:id w:val="-932126386"/>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p>
    <w:p w14:paraId="7A97E28B" w14:textId="77777777" w:rsidR="00267A0D" w:rsidRDefault="00267A0D" w:rsidP="00267A0D">
      <w:pPr>
        <w:widowControl w:val="0"/>
        <w:autoSpaceDE w:val="0"/>
        <w:autoSpaceDN w:val="0"/>
        <w:adjustRightInd w:val="0"/>
        <w:spacing w:after="0" w:line="239" w:lineRule="auto"/>
        <w:ind w:left="360" w:right="720"/>
        <w:rPr>
          <w:rFonts w:cs="Calibri"/>
          <w:b/>
        </w:rPr>
      </w:pPr>
      <w:r w:rsidRPr="00B9043B">
        <w:rPr>
          <w:rFonts w:cs="Calibri"/>
          <w:b/>
        </w:rPr>
        <w:t>(MANDATORY LANGUAGE)</w:t>
      </w:r>
    </w:p>
    <w:p w14:paraId="2FDADEE4" w14:textId="77777777" w:rsidR="00267A0D" w:rsidRDefault="00267A0D" w:rsidP="00267A0D">
      <w:pPr>
        <w:widowControl w:val="0"/>
        <w:autoSpaceDE w:val="0"/>
        <w:autoSpaceDN w:val="0"/>
        <w:adjustRightInd w:val="0"/>
        <w:spacing w:after="0" w:line="240" w:lineRule="auto"/>
        <w:ind w:right="720"/>
        <w:rPr>
          <w:rFonts w:cs="Calibri"/>
          <w:i/>
          <w:color w:val="00B0F0"/>
        </w:rPr>
      </w:pPr>
    </w:p>
    <w:p w14:paraId="7AA595FC" w14:textId="77777777" w:rsidR="00267A0D" w:rsidRDefault="00267A0D" w:rsidP="00267A0D">
      <w:pPr>
        <w:widowControl w:val="0"/>
        <w:autoSpaceDE w:val="0"/>
        <w:autoSpaceDN w:val="0"/>
        <w:adjustRightInd w:val="0"/>
        <w:spacing w:after="0" w:line="240" w:lineRule="auto"/>
        <w:ind w:left="360" w:right="720"/>
        <w:rPr>
          <w:rFonts w:cs="Calibri"/>
          <w:i/>
          <w:color w:val="00B0F0"/>
        </w:rPr>
      </w:pPr>
      <w:r w:rsidRPr="0024775D">
        <w:rPr>
          <w:rFonts w:cs="Calibri"/>
          <w:i/>
          <w:color w:val="00B0F0"/>
        </w:rPr>
        <w:t>[Optional: Insert any additional role(s) and responsibilities that apply to this SOP]</w:t>
      </w:r>
    </w:p>
    <w:p w14:paraId="04FF1C70" w14:textId="77777777" w:rsidR="00267A0D" w:rsidRPr="00971507" w:rsidRDefault="00267A0D" w:rsidP="006B34A3">
      <w:pPr>
        <w:spacing w:before="41" w:after="0" w:line="240" w:lineRule="auto"/>
        <w:ind w:right="720"/>
        <w:rPr>
          <w:rFonts w:ascii="Calibri" w:eastAsia="Calibri" w:hAnsi="Calibri" w:cs="Calibri"/>
          <w:color w:val="00B0F0"/>
        </w:rPr>
      </w:pPr>
    </w:p>
    <w:p w14:paraId="460D91EC" w14:textId="6B64340C" w:rsidR="00A04CFA" w:rsidRDefault="00695A12" w:rsidP="006F0AFD">
      <w:pPr>
        <w:pStyle w:val="ListParagraph"/>
        <w:numPr>
          <w:ilvl w:val="0"/>
          <w:numId w:val="1"/>
        </w:numPr>
        <w:spacing w:after="0"/>
        <w:ind w:right="720"/>
        <w:rPr>
          <w:b/>
        </w:rPr>
      </w:pPr>
      <w:r w:rsidRPr="00695A12">
        <w:rPr>
          <w:b/>
        </w:rPr>
        <w:t>PROCEDURE</w:t>
      </w:r>
    </w:p>
    <w:p w14:paraId="6E1F80C3" w14:textId="77777777" w:rsidR="00267A0D" w:rsidRDefault="00267A0D" w:rsidP="00602F73">
      <w:pPr>
        <w:spacing w:after="0"/>
        <w:ind w:right="720"/>
      </w:pPr>
    </w:p>
    <w:p w14:paraId="263FDB50" w14:textId="69969233" w:rsidR="00DA0483" w:rsidRPr="00CB0738" w:rsidRDefault="00DA0483" w:rsidP="00DA0483">
      <w:pPr>
        <w:pStyle w:val="ListParagraph"/>
        <w:spacing w:after="0"/>
        <w:ind w:left="360" w:right="720"/>
        <w:rPr>
          <w:b/>
        </w:rPr>
      </w:pPr>
      <w:r>
        <w:rPr>
          <w:b/>
        </w:rPr>
        <w:t>Monitoring /Audit Visit Notification</w:t>
      </w:r>
    </w:p>
    <w:p w14:paraId="7BFB478A" w14:textId="49FEB926" w:rsidR="00DA0483" w:rsidRDefault="00DA0483" w:rsidP="00DA0483">
      <w:pPr>
        <w:pStyle w:val="ListParagraph"/>
        <w:spacing w:after="0"/>
        <w:ind w:left="360" w:right="720"/>
        <w:rPr>
          <w:rFonts w:ascii="Calibri" w:eastAsia="Calibri" w:hAnsi="Calibri" w:cs="Calibri"/>
          <w:i/>
          <w:color w:val="00B0F0"/>
        </w:rPr>
      </w:pPr>
      <w:r>
        <w:rPr>
          <w:rFonts w:ascii="Calibri" w:eastAsia="Calibri" w:hAnsi="Calibri" w:cs="Calibri"/>
          <w:i/>
          <w:color w:val="00B0F0"/>
        </w:rPr>
        <w:t>[</w:t>
      </w:r>
      <w:r w:rsidRPr="00717D24">
        <w:rPr>
          <w:rFonts w:ascii="Calibri" w:eastAsia="Calibri" w:hAnsi="Calibri" w:cs="Calibri"/>
          <w:i/>
          <w:color w:val="00B0F0"/>
        </w:rPr>
        <w:t>Describe the pro</w:t>
      </w:r>
      <w:r>
        <w:rPr>
          <w:rFonts w:ascii="Calibri" w:eastAsia="Calibri" w:hAnsi="Calibri" w:cs="Calibri"/>
          <w:i/>
          <w:color w:val="00B0F0"/>
        </w:rPr>
        <w:t>ces</w:t>
      </w:r>
      <w:r w:rsidRPr="00717D24">
        <w:rPr>
          <w:rFonts w:ascii="Calibri" w:eastAsia="Calibri" w:hAnsi="Calibri" w:cs="Calibri"/>
          <w:i/>
          <w:color w:val="00B0F0"/>
        </w:rPr>
        <w:t>s</w:t>
      </w:r>
      <w:r>
        <w:rPr>
          <w:rFonts w:ascii="Calibri" w:eastAsia="Calibri" w:hAnsi="Calibri" w:cs="Calibri"/>
          <w:i/>
          <w:color w:val="00B0F0"/>
        </w:rPr>
        <w:t xml:space="preserve"> </w:t>
      </w:r>
      <w:r w:rsidRPr="00717D24">
        <w:rPr>
          <w:rFonts w:ascii="Calibri" w:eastAsia="Calibri" w:hAnsi="Calibri" w:cs="Calibri"/>
          <w:i/>
          <w:color w:val="00B0F0"/>
        </w:rPr>
        <w:t xml:space="preserve">for </w:t>
      </w:r>
      <w:r>
        <w:rPr>
          <w:rFonts w:ascii="Calibri" w:eastAsia="Calibri" w:hAnsi="Calibri" w:cs="Calibri"/>
          <w:i/>
          <w:color w:val="00B0F0"/>
        </w:rPr>
        <w:t>notifying required institutional officials (IRBMED, Regulatory Affairs, Health System, Legal Office, as applicable) of a pending monitoring visit or audit]</w:t>
      </w:r>
    </w:p>
    <w:p w14:paraId="32B164E1" w14:textId="77777777" w:rsidR="00DA0483" w:rsidRDefault="00DA0483" w:rsidP="00DA0483">
      <w:pPr>
        <w:pStyle w:val="ListParagraph"/>
        <w:spacing w:after="0"/>
        <w:ind w:left="360" w:right="720"/>
        <w:rPr>
          <w:b/>
        </w:rPr>
      </w:pPr>
    </w:p>
    <w:p w14:paraId="4E1FCAF6" w14:textId="2557C1C5" w:rsidR="00F16766" w:rsidRPr="00DA0483" w:rsidRDefault="009A7D3A" w:rsidP="00DA0483">
      <w:pPr>
        <w:pStyle w:val="ListParagraph"/>
        <w:spacing w:after="0"/>
        <w:ind w:left="360" w:right="720"/>
        <w:rPr>
          <w:b/>
        </w:rPr>
      </w:pPr>
      <w:r>
        <w:rPr>
          <w:b/>
        </w:rPr>
        <w:lastRenderedPageBreak/>
        <w:t>Monitoring</w:t>
      </w:r>
      <w:r w:rsidR="00D55449">
        <w:rPr>
          <w:b/>
        </w:rPr>
        <w:t xml:space="preserve"> Visit</w:t>
      </w:r>
      <w:r w:rsidR="00ED0F8E">
        <w:rPr>
          <w:b/>
        </w:rPr>
        <w:t xml:space="preserve"> Preparation</w:t>
      </w:r>
    </w:p>
    <w:p w14:paraId="3D77D77D" w14:textId="2A631D5D" w:rsidR="00267A0D" w:rsidRDefault="00F16766" w:rsidP="00B00DBD">
      <w:pPr>
        <w:pStyle w:val="ListParagraph"/>
        <w:spacing w:after="0"/>
        <w:ind w:left="360" w:right="720"/>
        <w:rPr>
          <w:rFonts w:cstheme="minorHAnsi"/>
          <w:i/>
          <w:color w:val="00B0F0"/>
        </w:rPr>
      </w:pPr>
      <w:r>
        <w:rPr>
          <w:rFonts w:ascii="Calibri" w:eastAsia="Calibri" w:hAnsi="Calibri" w:cs="Calibri"/>
          <w:i/>
          <w:color w:val="00B0F0"/>
        </w:rPr>
        <w:t xml:space="preserve">[Describe the process for </w:t>
      </w:r>
      <w:r w:rsidR="00DE5917">
        <w:rPr>
          <w:rFonts w:ascii="Calibri" w:eastAsia="Calibri" w:hAnsi="Calibri" w:cs="Calibri"/>
          <w:i/>
          <w:color w:val="00B0F0"/>
        </w:rPr>
        <w:t xml:space="preserve">preparing for a </w:t>
      </w:r>
      <w:r w:rsidR="00267A0D">
        <w:rPr>
          <w:rFonts w:ascii="Calibri" w:eastAsia="Calibri" w:hAnsi="Calibri" w:cs="Calibri"/>
          <w:i/>
          <w:color w:val="00B0F0"/>
        </w:rPr>
        <w:t>monitoring visit</w:t>
      </w:r>
      <w:r w:rsidR="00A07FC4">
        <w:rPr>
          <w:rFonts w:ascii="Calibri" w:eastAsia="Calibri" w:hAnsi="Calibri" w:cs="Calibri"/>
          <w:i/>
          <w:color w:val="00B0F0"/>
        </w:rPr>
        <w:t xml:space="preserve"> </w:t>
      </w:r>
      <w:r w:rsidR="00317FB0">
        <w:rPr>
          <w:rFonts w:ascii="Calibri" w:eastAsia="Calibri" w:hAnsi="Calibri" w:cs="Calibri"/>
          <w:i/>
          <w:color w:val="00B0F0"/>
        </w:rPr>
        <w:t xml:space="preserve">including preparation </w:t>
      </w:r>
      <w:r w:rsidR="00740662">
        <w:rPr>
          <w:rFonts w:ascii="Calibri" w:eastAsia="Calibri" w:hAnsi="Calibri" w:cs="Calibri"/>
          <w:i/>
          <w:color w:val="00B0F0"/>
        </w:rPr>
        <w:t>of physical</w:t>
      </w:r>
      <w:r w:rsidR="00317FB0">
        <w:rPr>
          <w:rFonts w:ascii="Calibri" w:eastAsia="Calibri" w:hAnsi="Calibri" w:cs="Calibri"/>
          <w:i/>
          <w:color w:val="00B0F0"/>
        </w:rPr>
        <w:t xml:space="preserve"> s</w:t>
      </w:r>
      <w:r w:rsidR="00013F32">
        <w:rPr>
          <w:rFonts w:ascii="Calibri" w:eastAsia="Calibri" w:hAnsi="Calibri" w:cs="Calibri"/>
          <w:i/>
          <w:color w:val="00B0F0"/>
        </w:rPr>
        <w:t>pace, clinical trial</w:t>
      </w:r>
      <w:r w:rsidR="00F018BE">
        <w:rPr>
          <w:rFonts w:ascii="Calibri" w:eastAsia="Calibri" w:hAnsi="Calibri" w:cs="Calibri"/>
          <w:i/>
          <w:color w:val="00B0F0"/>
        </w:rPr>
        <w:t xml:space="preserve"> </w:t>
      </w:r>
      <w:r w:rsidR="00632252">
        <w:rPr>
          <w:rFonts w:ascii="Calibri" w:eastAsia="Calibri" w:hAnsi="Calibri" w:cs="Calibri"/>
          <w:i/>
          <w:color w:val="00B0F0"/>
        </w:rPr>
        <w:t>files, regulatory</w:t>
      </w:r>
      <w:r w:rsidR="00F018BE">
        <w:rPr>
          <w:rFonts w:ascii="Calibri" w:eastAsia="Calibri" w:hAnsi="Calibri" w:cs="Calibri"/>
          <w:i/>
          <w:color w:val="00B0F0"/>
        </w:rPr>
        <w:t xml:space="preserve"> documents, etc.</w:t>
      </w:r>
      <w:r w:rsidR="00267A0D">
        <w:rPr>
          <w:rFonts w:cstheme="minorHAnsi"/>
          <w:i/>
          <w:color w:val="00B0F0"/>
        </w:rPr>
        <w:t>]</w:t>
      </w:r>
    </w:p>
    <w:p w14:paraId="3DB6C921" w14:textId="77777777" w:rsidR="00F77CE2" w:rsidRDefault="00F77CE2" w:rsidP="00F018BE">
      <w:pPr>
        <w:spacing w:after="0"/>
        <w:ind w:right="720"/>
      </w:pPr>
    </w:p>
    <w:p w14:paraId="03ABDFC0" w14:textId="376A321B" w:rsidR="00D55449" w:rsidRPr="00267A0D" w:rsidRDefault="00D55449" w:rsidP="00D55449">
      <w:pPr>
        <w:pStyle w:val="ListParagraph"/>
        <w:spacing w:after="0"/>
        <w:ind w:left="360" w:right="720"/>
        <w:rPr>
          <w:b/>
        </w:rPr>
      </w:pPr>
      <w:r>
        <w:rPr>
          <w:b/>
        </w:rPr>
        <w:t>Audit Visit</w:t>
      </w:r>
      <w:r w:rsidR="00ED0F8E">
        <w:rPr>
          <w:b/>
        </w:rPr>
        <w:t xml:space="preserve"> Preparation</w:t>
      </w:r>
    </w:p>
    <w:p w14:paraId="2D5342CD" w14:textId="37AB6ED1" w:rsidR="004F1783" w:rsidRDefault="00D55449" w:rsidP="00FD51B6">
      <w:pPr>
        <w:pStyle w:val="ListParagraph"/>
        <w:spacing w:after="0"/>
        <w:ind w:left="360" w:right="720"/>
        <w:rPr>
          <w:rFonts w:cstheme="minorHAnsi"/>
          <w:i/>
          <w:color w:val="00B0F0"/>
        </w:rPr>
      </w:pPr>
      <w:r>
        <w:rPr>
          <w:rFonts w:ascii="Calibri" w:eastAsia="Calibri" w:hAnsi="Calibri" w:cs="Calibri"/>
          <w:i/>
          <w:color w:val="00B0F0"/>
        </w:rPr>
        <w:t>[</w:t>
      </w:r>
      <w:r w:rsidRPr="00717D24">
        <w:rPr>
          <w:rFonts w:ascii="Calibri" w:eastAsia="Calibri" w:hAnsi="Calibri" w:cs="Calibri"/>
          <w:i/>
          <w:color w:val="00B0F0"/>
        </w:rPr>
        <w:t>Describe the pro</w:t>
      </w:r>
      <w:r>
        <w:rPr>
          <w:rFonts w:ascii="Calibri" w:eastAsia="Calibri" w:hAnsi="Calibri" w:cs="Calibri"/>
          <w:i/>
          <w:color w:val="00B0F0"/>
        </w:rPr>
        <w:t>ces</w:t>
      </w:r>
      <w:r w:rsidRPr="00717D24">
        <w:rPr>
          <w:rFonts w:ascii="Calibri" w:eastAsia="Calibri" w:hAnsi="Calibri" w:cs="Calibri"/>
          <w:i/>
          <w:color w:val="00B0F0"/>
        </w:rPr>
        <w:t>s</w:t>
      </w:r>
      <w:r w:rsidR="00A07FC4">
        <w:rPr>
          <w:rFonts w:ascii="Calibri" w:eastAsia="Calibri" w:hAnsi="Calibri" w:cs="Calibri"/>
          <w:i/>
          <w:color w:val="00B0F0"/>
        </w:rPr>
        <w:t xml:space="preserve"> </w:t>
      </w:r>
      <w:r w:rsidRPr="00717D24">
        <w:rPr>
          <w:rFonts w:ascii="Calibri" w:eastAsia="Calibri" w:hAnsi="Calibri" w:cs="Calibri"/>
          <w:i/>
          <w:color w:val="00B0F0"/>
        </w:rPr>
        <w:t xml:space="preserve">for </w:t>
      </w:r>
      <w:r>
        <w:rPr>
          <w:rFonts w:ascii="Calibri" w:eastAsia="Calibri" w:hAnsi="Calibri" w:cs="Calibri"/>
          <w:i/>
          <w:color w:val="00B0F0"/>
        </w:rPr>
        <w:t>preparing for a</w:t>
      </w:r>
      <w:r w:rsidR="00F16766">
        <w:rPr>
          <w:rFonts w:ascii="Calibri" w:eastAsia="Calibri" w:hAnsi="Calibri" w:cs="Calibri"/>
          <w:i/>
          <w:color w:val="00B0F0"/>
        </w:rPr>
        <w:t>n</w:t>
      </w:r>
      <w:r w:rsidR="00A07FC4">
        <w:rPr>
          <w:rFonts w:ascii="Calibri" w:eastAsia="Calibri" w:hAnsi="Calibri" w:cs="Calibri"/>
          <w:i/>
          <w:color w:val="00B0F0"/>
        </w:rPr>
        <w:t xml:space="preserve"> </w:t>
      </w:r>
      <w:r>
        <w:rPr>
          <w:rFonts w:ascii="Calibri" w:eastAsia="Calibri" w:hAnsi="Calibri" w:cs="Calibri"/>
          <w:i/>
          <w:color w:val="00B0F0"/>
        </w:rPr>
        <w:t xml:space="preserve">audit, including preparation </w:t>
      </w:r>
      <w:r w:rsidR="00740662">
        <w:rPr>
          <w:rFonts w:ascii="Calibri" w:eastAsia="Calibri" w:hAnsi="Calibri" w:cs="Calibri"/>
          <w:i/>
          <w:color w:val="00B0F0"/>
        </w:rPr>
        <w:t>of physical</w:t>
      </w:r>
      <w:r w:rsidR="00013F32">
        <w:rPr>
          <w:rFonts w:ascii="Calibri" w:eastAsia="Calibri" w:hAnsi="Calibri" w:cs="Calibri"/>
          <w:i/>
          <w:color w:val="00B0F0"/>
        </w:rPr>
        <w:t xml:space="preserve"> space, clinical trial</w:t>
      </w:r>
      <w:r>
        <w:rPr>
          <w:rFonts w:ascii="Calibri" w:eastAsia="Calibri" w:hAnsi="Calibri" w:cs="Calibri"/>
          <w:i/>
          <w:color w:val="00B0F0"/>
        </w:rPr>
        <w:t xml:space="preserve"> </w:t>
      </w:r>
      <w:r w:rsidR="00632252">
        <w:rPr>
          <w:rFonts w:ascii="Calibri" w:eastAsia="Calibri" w:hAnsi="Calibri" w:cs="Calibri"/>
          <w:i/>
          <w:color w:val="00B0F0"/>
        </w:rPr>
        <w:t>files, regulatory</w:t>
      </w:r>
      <w:r>
        <w:rPr>
          <w:rFonts w:ascii="Calibri" w:eastAsia="Calibri" w:hAnsi="Calibri" w:cs="Calibri"/>
          <w:i/>
          <w:color w:val="00B0F0"/>
        </w:rPr>
        <w:t xml:space="preserve"> documents, etc.</w:t>
      </w:r>
      <w:r>
        <w:rPr>
          <w:rFonts w:cstheme="minorHAnsi"/>
          <w:i/>
          <w:color w:val="00B0F0"/>
        </w:rPr>
        <w:t>]</w:t>
      </w:r>
    </w:p>
    <w:p w14:paraId="6E368B1C" w14:textId="77777777" w:rsidR="004F1783" w:rsidRPr="00CB0738" w:rsidRDefault="004F1783" w:rsidP="00CB0738">
      <w:pPr>
        <w:spacing w:after="0"/>
        <w:ind w:right="720"/>
        <w:rPr>
          <w:rFonts w:cstheme="minorHAnsi"/>
          <w:i/>
          <w:color w:val="00B0F0"/>
        </w:rPr>
      </w:pPr>
    </w:p>
    <w:p w14:paraId="6063EED8" w14:textId="01B4B465" w:rsidR="001C590D" w:rsidRPr="00CB0738" w:rsidRDefault="00ED0F8E" w:rsidP="009A7D3A">
      <w:pPr>
        <w:pStyle w:val="ListParagraph"/>
        <w:spacing w:after="0"/>
        <w:ind w:left="360" w:right="720"/>
        <w:rPr>
          <w:b/>
        </w:rPr>
      </w:pPr>
      <w:r>
        <w:rPr>
          <w:b/>
        </w:rPr>
        <w:t xml:space="preserve">Monitoring /Audit </w:t>
      </w:r>
      <w:r w:rsidR="001C590D" w:rsidRPr="00CB0738">
        <w:rPr>
          <w:b/>
        </w:rPr>
        <w:t>Visit Participation</w:t>
      </w:r>
    </w:p>
    <w:p w14:paraId="78341155" w14:textId="05CCD017" w:rsidR="009A7D3A" w:rsidRDefault="001C590D" w:rsidP="009A7D3A">
      <w:pPr>
        <w:pStyle w:val="ListParagraph"/>
        <w:spacing w:after="0"/>
        <w:ind w:left="360" w:right="720"/>
        <w:rPr>
          <w:i/>
          <w:color w:val="00B0F0"/>
        </w:rPr>
      </w:pPr>
      <w:r>
        <w:rPr>
          <w:i/>
          <w:color w:val="00B0F0"/>
        </w:rPr>
        <w:t>[Describe the process for ensuri</w:t>
      </w:r>
      <w:r w:rsidR="00CB0738">
        <w:rPr>
          <w:i/>
          <w:color w:val="00B0F0"/>
        </w:rPr>
        <w:t>ng adequate information, access</w:t>
      </w:r>
      <w:r>
        <w:rPr>
          <w:i/>
          <w:color w:val="00B0F0"/>
        </w:rPr>
        <w:t xml:space="preserve"> </w:t>
      </w:r>
      <w:r w:rsidR="00CB0738">
        <w:rPr>
          <w:i/>
          <w:color w:val="00B0F0"/>
        </w:rPr>
        <w:t>to</w:t>
      </w:r>
      <w:r>
        <w:rPr>
          <w:i/>
          <w:color w:val="00B0F0"/>
        </w:rPr>
        <w:t xml:space="preserve"> records</w:t>
      </w:r>
      <w:r w:rsidR="003B37CA">
        <w:rPr>
          <w:i/>
          <w:color w:val="00B0F0"/>
        </w:rPr>
        <w:t>,</w:t>
      </w:r>
      <w:r w:rsidR="00013F32">
        <w:rPr>
          <w:i/>
          <w:color w:val="00B0F0"/>
        </w:rPr>
        <w:t xml:space="preserve"> and appropriate clinical trial</w:t>
      </w:r>
      <w:r w:rsidR="00CB0738">
        <w:rPr>
          <w:i/>
          <w:color w:val="00B0F0"/>
        </w:rPr>
        <w:t xml:space="preserve"> personnel are</w:t>
      </w:r>
      <w:r>
        <w:rPr>
          <w:i/>
          <w:color w:val="00B0F0"/>
        </w:rPr>
        <w:t xml:space="preserve"> available for the monitor/auditor.</w:t>
      </w:r>
      <w:r w:rsidR="00CB0738">
        <w:rPr>
          <w:i/>
          <w:color w:val="00B0F0"/>
        </w:rPr>
        <w:t xml:space="preserve"> Include a plan for </w:t>
      </w:r>
      <w:r w:rsidR="00013F32">
        <w:rPr>
          <w:i/>
          <w:color w:val="00B0F0"/>
        </w:rPr>
        <w:t>coverage of an absent research</w:t>
      </w:r>
      <w:r w:rsidR="00CB0738">
        <w:rPr>
          <w:i/>
          <w:color w:val="00B0F0"/>
        </w:rPr>
        <w:t xml:space="preserve"> team member.]</w:t>
      </w:r>
    </w:p>
    <w:p w14:paraId="4199CF4B" w14:textId="77777777" w:rsidR="00BE4A7C" w:rsidRDefault="00BE4A7C" w:rsidP="009A7D3A">
      <w:pPr>
        <w:pStyle w:val="ListParagraph"/>
        <w:spacing w:after="0"/>
        <w:ind w:left="360" w:right="720"/>
        <w:rPr>
          <w:b/>
        </w:rPr>
      </w:pPr>
    </w:p>
    <w:p w14:paraId="0089E178" w14:textId="7FC0062C" w:rsidR="009A7D3A" w:rsidRPr="009A7D3A" w:rsidRDefault="009A7D3A" w:rsidP="009A7D3A">
      <w:pPr>
        <w:pStyle w:val="ListParagraph"/>
        <w:spacing w:after="0"/>
        <w:ind w:left="360" w:right="720"/>
        <w:rPr>
          <w:b/>
        </w:rPr>
      </w:pPr>
      <w:r>
        <w:rPr>
          <w:b/>
        </w:rPr>
        <w:t xml:space="preserve">Monitoring/Audit Visit </w:t>
      </w:r>
      <w:r w:rsidR="00ED0F8E">
        <w:rPr>
          <w:b/>
        </w:rPr>
        <w:t>Follow-up</w:t>
      </w:r>
    </w:p>
    <w:p w14:paraId="1F9E8FA2" w14:textId="33A4430B" w:rsidR="00CA5F06" w:rsidRDefault="009A7D3A" w:rsidP="00CA5F06">
      <w:pPr>
        <w:pStyle w:val="ListParagraph"/>
        <w:spacing w:after="0"/>
        <w:ind w:left="360" w:right="720"/>
        <w:rPr>
          <w:i/>
          <w:color w:val="00B0F0"/>
        </w:rPr>
      </w:pPr>
      <w:r>
        <w:rPr>
          <w:rFonts w:ascii="Calibri" w:eastAsia="Calibri" w:hAnsi="Calibri" w:cs="Calibri"/>
          <w:i/>
          <w:color w:val="00B0F0"/>
        </w:rPr>
        <w:t>[</w:t>
      </w:r>
      <w:r w:rsidRPr="00717D24">
        <w:rPr>
          <w:rFonts w:ascii="Calibri" w:eastAsia="Calibri" w:hAnsi="Calibri" w:cs="Calibri"/>
          <w:i/>
          <w:color w:val="00B0F0"/>
        </w:rPr>
        <w:t>Describe the pro</w:t>
      </w:r>
      <w:r>
        <w:rPr>
          <w:rFonts w:ascii="Calibri" w:eastAsia="Calibri" w:hAnsi="Calibri" w:cs="Calibri"/>
          <w:i/>
          <w:color w:val="00B0F0"/>
        </w:rPr>
        <w:t>ces</w:t>
      </w:r>
      <w:r w:rsidRPr="00717D24">
        <w:rPr>
          <w:rFonts w:ascii="Calibri" w:eastAsia="Calibri" w:hAnsi="Calibri" w:cs="Calibri"/>
          <w:i/>
          <w:color w:val="00B0F0"/>
        </w:rPr>
        <w:t>s</w:t>
      </w:r>
      <w:r>
        <w:rPr>
          <w:rFonts w:ascii="Calibri" w:eastAsia="Calibri" w:hAnsi="Calibri" w:cs="Calibri"/>
          <w:i/>
          <w:color w:val="00B0F0"/>
        </w:rPr>
        <w:t xml:space="preserve"> </w:t>
      </w:r>
      <w:r w:rsidRPr="00717D24">
        <w:rPr>
          <w:rFonts w:ascii="Calibri" w:eastAsia="Calibri" w:hAnsi="Calibri" w:cs="Calibri"/>
          <w:i/>
          <w:color w:val="00B0F0"/>
        </w:rPr>
        <w:t xml:space="preserve">for </w:t>
      </w:r>
      <w:r>
        <w:rPr>
          <w:rFonts w:ascii="Calibri" w:eastAsia="Calibri" w:hAnsi="Calibri" w:cs="Calibri"/>
          <w:i/>
          <w:color w:val="00B0F0"/>
        </w:rPr>
        <w:t>preparing responses to monitor queries,</w:t>
      </w:r>
      <w:r w:rsidR="00F21E2B">
        <w:rPr>
          <w:rFonts w:ascii="Calibri" w:eastAsia="Calibri" w:hAnsi="Calibri" w:cs="Calibri"/>
          <w:i/>
          <w:color w:val="00B0F0"/>
        </w:rPr>
        <w:t xml:space="preserve"> </w:t>
      </w:r>
      <w:r w:rsidR="00D55449">
        <w:rPr>
          <w:rFonts w:cstheme="minorHAnsi"/>
          <w:i/>
          <w:color w:val="00B0F0"/>
        </w:rPr>
        <w:t xml:space="preserve">and </w:t>
      </w:r>
      <w:r w:rsidR="00062B6E">
        <w:rPr>
          <w:rFonts w:cstheme="minorHAnsi"/>
          <w:i/>
          <w:color w:val="00B0F0"/>
        </w:rPr>
        <w:t xml:space="preserve">for </w:t>
      </w:r>
      <w:r w:rsidR="00D55449" w:rsidRPr="00602F73">
        <w:rPr>
          <w:i/>
          <w:color w:val="00B0F0"/>
        </w:rPr>
        <w:t>maintaining</w:t>
      </w:r>
      <w:r w:rsidR="001C590D">
        <w:rPr>
          <w:i/>
          <w:color w:val="00B0F0"/>
        </w:rPr>
        <w:t xml:space="preserve"> and disseminating</w:t>
      </w:r>
      <w:r w:rsidR="00D55449" w:rsidRPr="00602F73">
        <w:rPr>
          <w:i/>
          <w:color w:val="00B0F0"/>
        </w:rPr>
        <w:t xml:space="preserve"> visit</w:t>
      </w:r>
      <w:r w:rsidR="00D55449">
        <w:rPr>
          <w:i/>
          <w:color w:val="00B0F0"/>
        </w:rPr>
        <w:t>/audit</w:t>
      </w:r>
      <w:r w:rsidR="00D55449" w:rsidRPr="00602F73">
        <w:rPr>
          <w:i/>
          <w:color w:val="00B0F0"/>
        </w:rPr>
        <w:t xml:space="preserve"> documen</w:t>
      </w:r>
      <w:r w:rsidR="00D55449">
        <w:rPr>
          <w:i/>
          <w:color w:val="00B0F0"/>
        </w:rPr>
        <w:t>tation</w:t>
      </w:r>
      <w:r w:rsidR="00062B6E">
        <w:rPr>
          <w:i/>
          <w:color w:val="00B0F0"/>
        </w:rPr>
        <w:t xml:space="preserve"> that </w:t>
      </w:r>
      <w:r w:rsidR="00632252">
        <w:rPr>
          <w:i/>
          <w:color w:val="00B0F0"/>
        </w:rPr>
        <w:t>includes correspondence</w:t>
      </w:r>
      <w:r w:rsidR="00D55449">
        <w:rPr>
          <w:i/>
          <w:color w:val="00B0F0"/>
        </w:rPr>
        <w:t xml:space="preserve">, </w:t>
      </w:r>
      <w:r w:rsidR="00D55449" w:rsidRPr="00602F73">
        <w:rPr>
          <w:i/>
          <w:color w:val="00B0F0"/>
        </w:rPr>
        <w:t>monitoring reports</w:t>
      </w:r>
      <w:r w:rsidR="00D55449">
        <w:rPr>
          <w:i/>
          <w:color w:val="00B0F0"/>
        </w:rPr>
        <w:t>,</w:t>
      </w:r>
      <w:r w:rsidR="00CA5F06">
        <w:rPr>
          <w:i/>
          <w:color w:val="00B0F0"/>
        </w:rPr>
        <w:t xml:space="preserve"> institut</w:t>
      </w:r>
      <w:r w:rsidR="0041575D">
        <w:rPr>
          <w:i/>
          <w:color w:val="00B0F0"/>
        </w:rPr>
        <w:t xml:space="preserve">ional </w:t>
      </w:r>
      <w:r w:rsidR="00952888">
        <w:rPr>
          <w:i/>
          <w:color w:val="00B0F0"/>
        </w:rPr>
        <w:t>reporting,</w:t>
      </w:r>
      <w:r w:rsidR="0041575D">
        <w:rPr>
          <w:i/>
          <w:color w:val="00B0F0"/>
        </w:rPr>
        <w:t xml:space="preserve"> and </w:t>
      </w:r>
      <w:r w:rsidR="00E61A84">
        <w:rPr>
          <w:i/>
          <w:color w:val="00B0F0"/>
        </w:rPr>
        <w:t>responses to</w:t>
      </w:r>
      <w:r w:rsidR="0041575D">
        <w:rPr>
          <w:i/>
          <w:color w:val="00B0F0"/>
        </w:rPr>
        <w:t xml:space="preserve"> </w:t>
      </w:r>
      <w:r w:rsidR="004F5DCD">
        <w:rPr>
          <w:i/>
          <w:color w:val="00B0F0"/>
        </w:rPr>
        <w:t>monitoring/auditing entities</w:t>
      </w:r>
      <w:r w:rsidR="00CA5F06">
        <w:rPr>
          <w:i/>
          <w:color w:val="00B0F0"/>
        </w:rPr>
        <w:t>.]</w:t>
      </w:r>
    </w:p>
    <w:p w14:paraId="20F90B73" w14:textId="77777777" w:rsidR="00CA5F06" w:rsidRDefault="00CA5F06" w:rsidP="00CA5F06">
      <w:pPr>
        <w:spacing w:after="0" w:line="240" w:lineRule="auto"/>
        <w:ind w:right="720"/>
      </w:pPr>
    </w:p>
    <w:p w14:paraId="420ECCF7" w14:textId="77777777" w:rsidR="00155050" w:rsidRDefault="00155050" w:rsidP="00DA0483">
      <w:pPr>
        <w:widowControl w:val="0"/>
        <w:autoSpaceDE w:val="0"/>
        <w:autoSpaceDN w:val="0"/>
        <w:adjustRightInd w:val="0"/>
        <w:spacing w:after="0"/>
        <w:ind w:left="360" w:right="720"/>
        <w:rPr>
          <w:rFonts w:cs="Calibri"/>
          <w:b/>
        </w:rPr>
      </w:pPr>
      <w:r>
        <w:rPr>
          <w:b/>
        </w:rPr>
        <w:t xml:space="preserve">Additional </w:t>
      </w:r>
      <w:r w:rsidRPr="00741EAA">
        <w:rPr>
          <w:b/>
        </w:rPr>
        <w:t>Procedures</w:t>
      </w:r>
      <w:r>
        <w:rPr>
          <w:rFonts w:cs="Calibri"/>
        </w:rPr>
        <w:tab/>
      </w:r>
      <w:r>
        <w:rPr>
          <w:rFonts w:cs="Calibri"/>
        </w:rPr>
        <w:tab/>
      </w:r>
      <w:sdt>
        <w:sdtPr>
          <w:rPr>
            <w:rFonts w:cs="Calibri"/>
            <w:b/>
          </w:rPr>
          <w:id w:val="1584957525"/>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r>
        <w:rPr>
          <w:rFonts w:cs="Calibri"/>
          <w:b/>
        </w:rPr>
        <w:t xml:space="preserve"> </w:t>
      </w:r>
    </w:p>
    <w:p w14:paraId="4CD9F9DE" w14:textId="77777777" w:rsidR="00155050" w:rsidRPr="008D5E59" w:rsidRDefault="00155050" w:rsidP="00155050">
      <w:pPr>
        <w:widowControl w:val="0"/>
        <w:autoSpaceDE w:val="0"/>
        <w:autoSpaceDN w:val="0"/>
        <w:adjustRightInd w:val="0"/>
        <w:spacing w:after="0" w:line="239" w:lineRule="auto"/>
        <w:ind w:left="360" w:right="720"/>
        <w:rPr>
          <w:rFonts w:cs="Calibri"/>
        </w:rPr>
      </w:pPr>
    </w:p>
    <w:p w14:paraId="6153A731" w14:textId="77777777" w:rsidR="00155050" w:rsidRPr="00B068E2" w:rsidRDefault="00155050" w:rsidP="00DA0483">
      <w:pPr>
        <w:widowControl w:val="0"/>
        <w:autoSpaceDE w:val="0"/>
        <w:autoSpaceDN w:val="0"/>
        <w:adjustRightInd w:val="0"/>
        <w:spacing w:after="0" w:line="240" w:lineRule="auto"/>
        <w:ind w:left="360" w:right="720"/>
        <w:rPr>
          <w:b/>
          <w:i/>
        </w:rPr>
      </w:pPr>
      <w:r w:rsidRPr="00B068E2">
        <w:rPr>
          <w:i/>
          <w:color w:val="00B0F0"/>
        </w:rPr>
        <w:t>[</w:t>
      </w:r>
      <w:r>
        <w:rPr>
          <w:i/>
          <w:color w:val="00B0F0"/>
        </w:rPr>
        <w:t>Optional: Insert</w:t>
      </w:r>
      <w:r w:rsidRPr="00B068E2">
        <w:rPr>
          <w:i/>
          <w:color w:val="00B0F0"/>
        </w:rPr>
        <w:t xml:space="preserve"> any additional relevant </w:t>
      </w:r>
      <w:r>
        <w:rPr>
          <w:i/>
          <w:color w:val="00B0F0"/>
        </w:rPr>
        <w:t>procedures. Provide enough detail to ensure the procedure is consistently carried out, without providing so much detail that violations occur due to normal or expected variations in the work.</w:t>
      </w:r>
      <w:r w:rsidRPr="00B068E2">
        <w:rPr>
          <w:i/>
          <w:color w:val="00B0F0"/>
        </w:rPr>
        <w:t>]</w:t>
      </w:r>
    </w:p>
    <w:p w14:paraId="462A6843" w14:textId="77777777" w:rsidR="00F018BE" w:rsidRDefault="00F018BE" w:rsidP="006F0AFD">
      <w:pPr>
        <w:spacing w:after="0" w:line="240" w:lineRule="auto"/>
        <w:ind w:right="720"/>
      </w:pPr>
    </w:p>
    <w:p w14:paraId="5E39BFCC" w14:textId="05EC57BC" w:rsidR="00817E2E" w:rsidRDefault="00695A12" w:rsidP="005D2433">
      <w:pPr>
        <w:pStyle w:val="ListParagraph"/>
        <w:numPr>
          <w:ilvl w:val="0"/>
          <w:numId w:val="1"/>
        </w:numPr>
        <w:spacing w:after="0"/>
        <w:ind w:right="720"/>
        <w:rPr>
          <w:b/>
        </w:rPr>
      </w:pPr>
      <w:r w:rsidRPr="00A04CFA">
        <w:rPr>
          <w:b/>
        </w:rPr>
        <w:t>REFERENCES</w:t>
      </w:r>
    </w:p>
    <w:p w14:paraId="09FE5B77" w14:textId="77777777" w:rsidR="00E00FEC" w:rsidRDefault="00E00FEC" w:rsidP="00834ECB">
      <w:pPr>
        <w:pStyle w:val="ListParagraph"/>
        <w:spacing w:after="0"/>
        <w:ind w:left="360" w:right="720"/>
        <w:rPr>
          <w:b/>
        </w:rPr>
      </w:pPr>
    </w:p>
    <w:p w14:paraId="4A5B4B12" w14:textId="20C9A6F4" w:rsidR="000112C7" w:rsidRDefault="000112C7" w:rsidP="000112C7">
      <w:pPr>
        <w:pStyle w:val="ListParagraph"/>
        <w:spacing w:after="0"/>
        <w:ind w:left="360" w:right="720"/>
      </w:pPr>
      <w:r>
        <w:t>FDA</w:t>
      </w:r>
      <w:r w:rsidR="00101F27">
        <w:t xml:space="preserve"> Basics</w:t>
      </w:r>
      <w:r w:rsidR="00BE4A7C">
        <w:t xml:space="preserve"> - </w:t>
      </w:r>
      <w:r w:rsidR="00062B6E">
        <w:rPr>
          <w:lang w:val="en"/>
        </w:rPr>
        <w:t>What does FDA inspect?</w:t>
      </w:r>
    </w:p>
    <w:p w14:paraId="22524CDC" w14:textId="3A706B23" w:rsidR="000112C7" w:rsidRDefault="00952888" w:rsidP="000112C7">
      <w:pPr>
        <w:pStyle w:val="ListParagraph"/>
        <w:spacing w:after="0"/>
        <w:ind w:left="360" w:right="720"/>
      </w:pPr>
      <w:hyperlink r:id="rId12" w:history="1">
        <w:r w:rsidR="00101F27" w:rsidRPr="00B20412">
          <w:rPr>
            <w:rStyle w:val="Hyperlink"/>
          </w:rPr>
          <w:t>http://www.fda.gov/AboutFDA/Transparency/Basics/ucm194888.htm</w:t>
        </w:r>
      </w:hyperlink>
    </w:p>
    <w:p w14:paraId="6CF387A0" w14:textId="77777777" w:rsidR="004141C6" w:rsidRDefault="004141C6" w:rsidP="004141C6">
      <w:pPr>
        <w:pStyle w:val="ListParagraph"/>
        <w:spacing w:after="0"/>
        <w:ind w:left="360" w:right="720"/>
        <w:rPr>
          <w:b/>
        </w:rPr>
      </w:pPr>
    </w:p>
    <w:p w14:paraId="74F9FFDE" w14:textId="6B85A337" w:rsidR="00EA4B6D" w:rsidRDefault="00EA4B6D" w:rsidP="00EA4B6D">
      <w:pPr>
        <w:spacing w:after="0"/>
        <w:ind w:left="360" w:right="-20"/>
      </w:pPr>
      <w:r>
        <w:t xml:space="preserve">FDA Title 21 CFR 312.53 - </w:t>
      </w:r>
      <w:r w:rsidRPr="00EA4B6D">
        <w:t>Selecting investigators and monitors</w:t>
      </w:r>
      <w:r>
        <w:t>:</w:t>
      </w:r>
    </w:p>
    <w:p w14:paraId="5F231759" w14:textId="3C501903" w:rsidR="00EA4B6D" w:rsidRDefault="00952888" w:rsidP="00EA4B6D">
      <w:pPr>
        <w:widowControl w:val="0"/>
        <w:autoSpaceDE w:val="0"/>
        <w:autoSpaceDN w:val="0"/>
        <w:adjustRightInd w:val="0"/>
        <w:spacing w:after="0" w:line="239" w:lineRule="auto"/>
        <w:ind w:left="360" w:right="720"/>
        <w:rPr>
          <w:rStyle w:val="Hyperlink"/>
          <w:color w:val="auto"/>
          <w:u w:val="none"/>
        </w:rPr>
      </w:pPr>
      <w:hyperlink r:id="rId13" w:history="1">
        <w:r w:rsidR="00EA4B6D" w:rsidRPr="00593FF8">
          <w:rPr>
            <w:rStyle w:val="Hyperlink"/>
          </w:rPr>
          <w:t>http://www.ecfr.gov/cgi-bin/text-idx?SID=e37712a7ee32d29b3075c4dbe39a860e&amp;mc=true&amp;node=se21.5.312_153&amp;rgn=div8</w:t>
        </w:r>
      </w:hyperlink>
      <w:r w:rsidR="00EA4B6D">
        <w:rPr>
          <w:rStyle w:val="Hyperlink"/>
          <w:color w:val="auto"/>
          <w:u w:val="none"/>
        </w:rPr>
        <w:t xml:space="preserve">  </w:t>
      </w:r>
    </w:p>
    <w:p w14:paraId="785F9700" w14:textId="0F9ED654" w:rsidR="00EA4B6D" w:rsidRDefault="00EA4B6D" w:rsidP="00EA4B6D">
      <w:pPr>
        <w:widowControl w:val="0"/>
        <w:autoSpaceDE w:val="0"/>
        <w:autoSpaceDN w:val="0"/>
        <w:adjustRightInd w:val="0"/>
        <w:spacing w:after="0" w:line="239" w:lineRule="auto"/>
        <w:ind w:left="360" w:right="720"/>
        <w:rPr>
          <w:rStyle w:val="Hyperlink"/>
          <w:color w:val="auto"/>
          <w:u w:val="none"/>
        </w:rPr>
      </w:pPr>
    </w:p>
    <w:p w14:paraId="765E8258" w14:textId="5BBD4042" w:rsidR="00EA4B6D" w:rsidRDefault="00EA4B6D" w:rsidP="00EA4B6D">
      <w:pPr>
        <w:spacing w:after="0"/>
        <w:ind w:left="360" w:right="-20"/>
      </w:pPr>
      <w:r>
        <w:t xml:space="preserve">FDA Title 21 CFR 812.43 - </w:t>
      </w:r>
      <w:r w:rsidRPr="00EA4B6D">
        <w:t>Selecting investigators and monitors</w:t>
      </w:r>
      <w:r>
        <w:t>:</w:t>
      </w:r>
    </w:p>
    <w:p w14:paraId="22BB6F45" w14:textId="36AE05D8" w:rsidR="00EA4B6D" w:rsidRDefault="00952888" w:rsidP="00EA4B6D">
      <w:pPr>
        <w:widowControl w:val="0"/>
        <w:autoSpaceDE w:val="0"/>
        <w:autoSpaceDN w:val="0"/>
        <w:adjustRightInd w:val="0"/>
        <w:spacing w:after="0" w:line="239" w:lineRule="auto"/>
        <w:ind w:left="360" w:right="720"/>
        <w:rPr>
          <w:rStyle w:val="Hyperlink"/>
          <w:color w:val="auto"/>
          <w:u w:val="none"/>
        </w:rPr>
      </w:pPr>
      <w:hyperlink r:id="rId14" w:history="1">
        <w:r w:rsidR="00EA4B6D" w:rsidRPr="00593FF8">
          <w:rPr>
            <w:rStyle w:val="Hyperlink"/>
          </w:rPr>
          <w:t>http://www.ecfr.gov/cgi-bin/text-idx?SID=e37712a7ee32d29b3075c4dbe39a860e&amp;mc=true&amp;node=se21.8.812_143&amp;rgn=div8</w:t>
        </w:r>
      </w:hyperlink>
      <w:r w:rsidR="00EA4B6D">
        <w:rPr>
          <w:rStyle w:val="Hyperlink"/>
          <w:color w:val="auto"/>
          <w:u w:val="none"/>
        </w:rPr>
        <w:t xml:space="preserve"> </w:t>
      </w:r>
      <w:hyperlink r:id="rId15" w:history="1"/>
      <w:r w:rsidR="00EA4B6D">
        <w:rPr>
          <w:rStyle w:val="Hyperlink"/>
          <w:color w:val="auto"/>
          <w:u w:val="none"/>
        </w:rPr>
        <w:t xml:space="preserve"> </w:t>
      </w:r>
    </w:p>
    <w:p w14:paraId="5B911746" w14:textId="77777777" w:rsidR="00EA4B6D" w:rsidRDefault="00EA4B6D" w:rsidP="00EA4B6D">
      <w:pPr>
        <w:widowControl w:val="0"/>
        <w:autoSpaceDE w:val="0"/>
        <w:autoSpaceDN w:val="0"/>
        <w:adjustRightInd w:val="0"/>
        <w:spacing w:after="0" w:line="239" w:lineRule="auto"/>
        <w:ind w:left="360" w:right="720"/>
        <w:rPr>
          <w:rStyle w:val="Hyperlink"/>
          <w:color w:val="auto"/>
          <w:u w:val="none"/>
        </w:rPr>
      </w:pPr>
    </w:p>
    <w:p w14:paraId="5D020D88" w14:textId="77777777" w:rsidR="00F923F7" w:rsidRDefault="00F923F7" w:rsidP="000112C7">
      <w:pPr>
        <w:widowControl w:val="0"/>
        <w:autoSpaceDE w:val="0"/>
        <w:autoSpaceDN w:val="0"/>
        <w:adjustRightInd w:val="0"/>
        <w:spacing w:after="0" w:line="239" w:lineRule="auto"/>
        <w:ind w:right="720" w:firstLine="360"/>
        <w:rPr>
          <w:rStyle w:val="Hyperlink"/>
          <w:color w:val="auto"/>
          <w:u w:val="none"/>
        </w:rPr>
      </w:pPr>
      <w:r w:rsidRPr="00F923F7">
        <w:rPr>
          <w:rStyle w:val="Hyperlink"/>
          <w:color w:val="auto"/>
          <w:u w:val="none"/>
        </w:rPr>
        <w:t>International Council for Harmonisation</w:t>
      </w:r>
    </w:p>
    <w:p w14:paraId="10FA49F2" w14:textId="69002AB9" w:rsidR="004141C6" w:rsidRDefault="00952888" w:rsidP="000112C7">
      <w:pPr>
        <w:widowControl w:val="0"/>
        <w:autoSpaceDE w:val="0"/>
        <w:autoSpaceDN w:val="0"/>
        <w:adjustRightInd w:val="0"/>
        <w:spacing w:after="0" w:line="239" w:lineRule="auto"/>
        <w:ind w:right="720" w:firstLine="360"/>
        <w:rPr>
          <w:rStyle w:val="Hyperlink"/>
        </w:rPr>
      </w:pPr>
      <w:hyperlink r:id="rId16" w:history="1">
        <w:r w:rsidR="004141C6" w:rsidRPr="00121843">
          <w:rPr>
            <w:rStyle w:val="Hyperlink"/>
          </w:rPr>
          <w:t>http://www.ich.org/</w:t>
        </w:r>
      </w:hyperlink>
      <w:r w:rsidR="009345DC">
        <w:rPr>
          <w:rStyle w:val="Hyperlink"/>
        </w:rPr>
        <w:t xml:space="preserve"> </w:t>
      </w:r>
    </w:p>
    <w:p w14:paraId="4673E7EE" w14:textId="128A2F07" w:rsidR="000A1425" w:rsidRDefault="00952888" w:rsidP="000112C7">
      <w:pPr>
        <w:widowControl w:val="0"/>
        <w:autoSpaceDE w:val="0"/>
        <w:autoSpaceDN w:val="0"/>
        <w:adjustRightInd w:val="0"/>
        <w:spacing w:after="0" w:line="239" w:lineRule="auto"/>
        <w:ind w:right="720" w:firstLine="360"/>
        <w:rPr>
          <w:rStyle w:val="Hyperlink"/>
        </w:rPr>
      </w:pPr>
      <w:hyperlink r:id="rId17" w:history="1">
        <w:r w:rsidR="00E17087" w:rsidRPr="00A22D62">
          <w:rPr>
            <w:rStyle w:val="Hyperlink"/>
          </w:rPr>
          <w:t>https://database.ich.org/sites/default/files/E6_R2_Addendum.pdf</w:t>
        </w:r>
      </w:hyperlink>
      <w:r w:rsidR="00E17087">
        <w:rPr>
          <w:rStyle w:val="Hyperlink"/>
        </w:rPr>
        <w:t xml:space="preserve"> </w:t>
      </w:r>
    </w:p>
    <w:p w14:paraId="2830338B" w14:textId="77777777" w:rsidR="00CA5F06" w:rsidRPr="004141C6" w:rsidRDefault="00CA5F06" w:rsidP="004141C6">
      <w:pPr>
        <w:spacing w:after="0"/>
        <w:ind w:right="720"/>
        <w:rPr>
          <w:b/>
        </w:rPr>
      </w:pPr>
    </w:p>
    <w:p w14:paraId="48A90411" w14:textId="44B24D62" w:rsidR="004C078B" w:rsidRPr="00FC53BD" w:rsidRDefault="004C078B" w:rsidP="004C078B">
      <w:pPr>
        <w:pStyle w:val="ListParagraph"/>
        <w:spacing w:after="0" w:line="240" w:lineRule="auto"/>
        <w:ind w:left="360" w:right="720"/>
      </w:pPr>
      <w:r>
        <w:t xml:space="preserve">University of Michigan - Quality Assurance and Research Compliance Operations Manual </w:t>
      </w:r>
    </w:p>
    <w:p w14:paraId="170DDF1D" w14:textId="37C8E53A" w:rsidR="004C078B" w:rsidRDefault="00612233" w:rsidP="004C078B">
      <w:pPr>
        <w:pStyle w:val="CommentText"/>
        <w:spacing w:after="0"/>
        <w:ind w:left="360"/>
        <w:rPr>
          <w:rFonts w:ascii="Calibri" w:hAnsi="Calibri" w:cs="Calibri"/>
          <w:color w:val="0000FF"/>
          <w:sz w:val="22"/>
          <w:szCs w:val="22"/>
        </w:rPr>
      </w:pPr>
      <w:r w:rsidRPr="00612233">
        <w:t xml:space="preserve"> </w:t>
      </w:r>
      <w:hyperlink r:id="rId18" w:anchor="page=132" w:history="1">
        <w:r w:rsidRPr="00A22D62">
          <w:rPr>
            <w:rStyle w:val="Hyperlink"/>
            <w:rFonts w:ascii="Calibri" w:hAnsi="Calibri" w:cs="Calibri"/>
            <w:sz w:val="22"/>
            <w:szCs w:val="22"/>
          </w:rPr>
          <w:t>https://research-compliance.umich.edu/sites/default/files/resource-download/hrpp_operationsmanual.pdf#page=132</w:t>
        </w:r>
      </w:hyperlink>
      <w:r>
        <w:rPr>
          <w:rFonts w:ascii="Calibri" w:hAnsi="Calibri" w:cs="Calibri"/>
          <w:color w:val="0000FF"/>
          <w:sz w:val="22"/>
          <w:szCs w:val="22"/>
        </w:rPr>
        <w:t xml:space="preserve"> </w:t>
      </w:r>
    </w:p>
    <w:p w14:paraId="0A351456" w14:textId="77777777" w:rsidR="004C078B" w:rsidRDefault="004C078B" w:rsidP="00B00DBD">
      <w:pPr>
        <w:pStyle w:val="ListParagraph"/>
        <w:spacing w:after="0"/>
        <w:ind w:left="360" w:right="720"/>
      </w:pPr>
    </w:p>
    <w:p w14:paraId="25A74715" w14:textId="2FA6AEB7" w:rsidR="00B00DBD" w:rsidRDefault="00CF0913" w:rsidP="00B00DBD">
      <w:pPr>
        <w:pStyle w:val="ListParagraph"/>
        <w:spacing w:after="0"/>
        <w:ind w:left="360" w:right="720"/>
      </w:pPr>
      <w:r>
        <w:t xml:space="preserve">University of Michigan </w:t>
      </w:r>
      <w:r w:rsidR="00CE5BC8">
        <w:t xml:space="preserve">- </w:t>
      </w:r>
      <w:r w:rsidR="004C078B" w:rsidRPr="00CE5BC8">
        <w:t>Medical School Institutional Review Board</w:t>
      </w:r>
      <w:r w:rsidR="004C078B">
        <w:t xml:space="preserve"> (IRBMED) </w:t>
      </w:r>
      <w:r>
        <w:t>Glossary</w:t>
      </w:r>
    </w:p>
    <w:p w14:paraId="28895CC7" w14:textId="609C7B4B" w:rsidR="00BB42AC" w:rsidRDefault="00952888" w:rsidP="00B00DBD">
      <w:pPr>
        <w:pStyle w:val="ListParagraph"/>
        <w:spacing w:after="0"/>
        <w:ind w:left="360" w:right="720"/>
      </w:pPr>
      <w:hyperlink r:id="rId19" w:history="1">
        <w:r w:rsidR="00BB42AC" w:rsidRPr="00232D5F">
          <w:rPr>
            <w:rStyle w:val="Hyperlink"/>
          </w:rPr>
          <w:t>https://research.medicine.umich.edu/office-research/institutional-review-boards-irbmed/guidance/glossary</w:t>
        </w:r>
      </w:hyperlink>
    </w:p>
    <w:p w14:paraId="17AEEB2E" w14:textId="4B1CA214" w:rsidR="00101F27" w:rsidRDefault="00101F27" w:rsidP="00B00DBD">
      <w:pPr>
        <w:pStyle w:val="ListParagraph"/>
        <w:spacing w:after="0"/>
        <w:ind w:left="360" w:right="720"/>
      </w:pPr>
    </w:p>
    <w:p w14:paraId="1601698E" w14:textId="49410014" w:rsidR="000B3B67" w:rsidRDefault="000B3B67" w:rsidP="00B00DBD">
      <w:pPr>
        <w:pStyle w:val="ListParagraph"/>
        <w:spacing w:after="0"/>
        <w:ind w:left="360" w:right="720"/>
      </w:pPr>
      <w:r>
        <w:t>University of Michigan</w:t>
      </w:r>
      <w:r w:rsidR="00CE5BC8">
        <w:t xml:space="preserve"> - </w:t>
      </w:r>
      <w:r w:rsidR="00CE5BC8" w:rsidRPr="00CE5BC8">
        <w:t>Medical School Institutional Review Board</w:t>
      </w:r>
      <w:r w:rsidR="00CE5BC8">
        <w:t xml:space="preserve"> (</w:t>
      </w:r>
      <w:r>
        <w:t>IRBMED</w:t>
      </w:r>
      <w:r w:rsidR="00CE5BC8">
        <w:t xml:space="preserve">) </w:t>
      </w:r>
      <w:r w:rsidR="006F3C70" w:rsidRPr="006F3C70">
        <w:t>Standard Operating Procedures</w:t>
      </w:r>
      <w:r w:rsidR="006F3C70">
        <w:t xml:space="preserve"> (</w:t>
      </w:r>
      <w:r>
        <w:t>SOPs</w:t>
      </w:r>
      <w:r w:rsidR="006F3C70">
        <w:t>)</w:t>
      </w:r>
    </w:p>
    <w:p w14:paraId="5DACD701" w14:textId="3FA7C5C1" w:rsidR="00BB42AC" w:rsidRDefault="00952888" w:rsidP="00B00DBD">
      <w:pPr>
        <w:pStyle w:val="ListParagraph"/>
        <w:spacing w:after="0"/>
        <w:ind w:left="360" w:right="720"/>
      </w:pPr>
      <w:hyperlink r:id="rId20" w:history="1">
        <w:r w:rsidR="00BB42AC" w:rsidRPr="00232D5F">
          <w:rPr>
            <w:rStyle w:val="Hyperlink"/>
          </w:rPr>
          <w:t>https://research.medicine.umich.edu/office-research/institutional-review-boards-irbmed/guidance/standard-operating-procedures</w:t>
        </w:r>
      </w:hyperlink>
    </w:p>
    <w:p w14:paraId="5B152D76" w14:textId="1E6E0CA1" w:rsidR="00C26343" w:rsidRDefault="00C26343" w:rsidP="00FD51B6">
      <w:pPr>
        <w:widowControl w:val="0"/>
        <w:autoSpaceDE w:val="0"/>
        <w:autoSpaceDN w:val="0"/>
        <w:adjustRightInd w:val="0"/>
        <w:spacing w:after="0" w:line="240" w:lineRule="auto"/>
        <w:ind w:left="360" w:right="720"/>
        <w:rPr>
          <w:rFonts w:cs="Calibri"/>
        </w:rPr>
      </w:pPr>
    </w:p>
    <w:p w14:paraId="1F6BE39F" w14:textId="713A8DA2" w:rsidR="00CA5F06" w:rsidRPr="004F5DCD" w:rsidRDefault="004C078B" w:rsidP="00FD51B6">
      <w:pPr>
        <w:widowControl w:val="0"/>
        <w:autoSpaceDE w:val="0"/>
        <w:autoSpaceDN w:val="0"/>
        <w:adjustRightInd w:val="0"/>
        <w:spacing w:after="0" w:line="240" w:lineRule="auto"/>
        <w:ind w:left="360" w:right="720"/>
        <w:rPr>
          <w:rFonts w:cs="Calibri"/>
        </w:rPr>
      </w:pPr>
      <w:r>
        <w:rPr>
          <w:rFonts w:cs="Calibri"/>
        </w:rPr>
        <w:t xml:space="preserve">University of Michigan - </w:t>
      </w:r>
      <w:r w:rsidR="00CA5F06" w:rsidRPr="004F5DCD">
        <w:rPr>
          <w:rFonts w:cs="Calibri"/>
        </w:rPr>
        <w:t>Office of Research Compliance Review</w:t>
      </w:r>
      <w:r>
        <w:rPr>
          <w:rFonts w:cs="Calibri"/>
        </w:rPr>
        <w:t xml:space="preserve"> (ORCR)</w:t>
      </w:r>
    </w:p>
    <w:p w14:paraId="09080369" w14:textId="77777777" w:rsidR="00CA5F06" w:rsidRDefault="00952888" w:rsidP="00FD51B6">
      <w:pPr>
        <w:widowControl w:val="0"/>
        <w:autoSpaceDE w:val="0"/>
        <w:autoSpaceDN w:val="0"/>
        <w:adjustRightInd w:val="0"/>
        <w:spacing w:after="0" w:line="240" w:lineRule="auto"/>
        <w:ind w:left="360" w:right="720"/>
        <w:rPr>
          <w:rFonts w:cs="Calibri"/>
        </w:rPr>
      </w:pPr>
      <w:hyperlink r:id="rId21" w:history="1">
        <w:r w:rsidR="00CA5F06">
          <w:rPr>
            <w:rStyle w:val="Hyperlink"/>
            <w:rFonts w:cs="Calibri"/>
          </w:rPr>
          <w:t>http://research-compliance.umich.edu/office-human-research-compliance-review-ohrcr</w:t>
        </w:r>
      </w:hyperlink>
    </w:p>
    <w:p w14:paraId="7056D361" w14:textId="11345DF7" w:rsidR="00CA5F06" w:rsidRPr="00C26343" w:rsidRDefault="00C26343" w:rsidP="00C26343">
      <w:pPr>
        <w:pStyle w:val="CommentText"/>
        <w:spacing w:after="0"/>
        <w:ind w:left="360"/>
        <w:rPr>
          <w:rFonts w:cs="Arial"/>
          <w:sz w:val="22"/>
          <w:szCs w:val="22"/>
        </w:rPr>
      </w:pPr>
      <w:r w:rsidRPr="00C26343">
        <w:rPr>
          <w:rFonts w:cs="Arial"/>
          <w:sz w:val="22"/>
          <w:szCs w:val="22"/>
        </w:rPr>
        <w:t>(</w:t>
      </w:r>
      <w:r w:rsidRPr="00C26343">
        <w:rPr>
          <w:rFonts w:cs="Arial"/>
          <w:b/>
          <w:sz w:val="22"/>
          <w:szCs w:val="22"/>
        </w:rPr>
        <w:t>MANDATORY LANGUAGE</w:t>
      </w:r>
      <w:r w:rsidRPr="00C26343">
        <w:rPr>
          <w:rFonts w:cs="Arial"/>
          <w:sz w:val="22"/>
          <w:szCs w:val="22"/>
        </w:rPr>
        <w:t>)</w:t>
      </w:r>
    </w:p>
    <w:p w14:paraId="21058F6B" w14:textId="77777777" w:rsidR="00C26343" w:rsidRPr="00CB0738" w:rsidRDefault="00C26343" w:rsidP="00FD51B6">
      <w:pPr>
        <w:pStyle w:val="CommentText"/>
        <w:spacing w:after="0"/>
        <w:ind w:left="360"/>
        <w:rPr>
          <w:sz w:val="22"/>
          <w:szCs w:val="22"/>
        </w:rPr>
      </w:pPr>
    </w:p>
    <w:p w14:paraId="5775DFC4" w14:textId="77777777" w:rsidR="00931998" w:rsidRDefault="00931998" w:rsidP="00931998">
      <w:pPr>
        <w:widowControl w:val="0"/>
        <w:autoSpaceDE w:val="0"/>
        <w:autoSpaceDN w:val="0"/>
        <w:adjustRightInd w:val="0"/>
        <w:spacing w:after="0" w:line="240" w:lineRule="auto"/>
        <w:ind w:left="360" w:right="720"/>
        <w:rPr>
          <w:rFonts w:cs="Calibri"/>
          <w:i/>
          <w:color w:val="00B0F0"/>
        </w:rPr>
      </w:pPr>
      <w:r w:rsidRPr="0024775D">
        <w:rPr>
          <w:rFonts w:cs="Calibri"/>
          <w:i/>
          <w:color w:val="00B0F0"/>
        </w:rPr>
        <w:t xml:space="preserve">[Optional: Insert </w:t>
      </w:r>
      <w:r>
        <w:rPr>
          <w:rFonts w:cs="Calibri"/>
          <w:i/>
          <w:color w:val="00B0F0"/>
        </w:rPr>
        <w:t xml:space="preserve">any </w:t>
      </w:r>
      <w:r w:rsidRPr="0024775D">
        <w:rPr>
          <w:rFonts w:cs="Calibri"/>
          <w:i/>
          <w:color w:val="00B0F0"/>
        </w:rPr>
        <w:t xml:space="preserve">additional </w:t>
      </w:r>
      <w:r>
        <w:rPr>
          <w:rFonts w:cs="Calibri"/>
          <w:i/>
          <w:color w:val="00B0F0"/>
        </w:rPr>
        <w:t xml:space="preserve">SOP </w:t>
      </w:r>
      <w:r w:rsidRPr="0024775D">
        <w:rPr>
          <w:rFonts w:cs="Calibri"/>
          <w:i/>
          <w:color w:val="00B0F0"/>
        </w:rPr>
        <w:t>references]</w:t>
      </w:r>
    </w:p>
    <w:p w14:paraId="5CC931E5" w14:textId="77777777" w:rsidR="00C249D9" w:rsidRPr="005D2433" w:rsidRDefault="00C249D9" w:rsidP="00B00DBD">
      <w:pPr>
        <w:pStyle w:val="ListParagraph"/>
        <w:spacing w:after="0"/>
        <w:ind w:left="360" w:right="720"/>
        <w:rPr>
          <w:b/>
        </w:rPr>
      </w:pPr>
    </w:p>
    <w:p w14:paraId="35FE624A" w14:textId="5F95E4F0" w:rsidR="00CD4DCF" w:rsidRPr="00CD4DCF" w:rsidRDefault="00695A12" w:rsidP="00CD4DCF">
      <w:pPr>
        <w:pStyle w:val="ListParagraph"/>
        <w:numPr>
          <w:ilvl w:val="0"/>
          <w:numId w:val="1"/>
        </w:numPr>
        <w:spacing w:after="0"/>
        <w:ind w:right="720"/>
      </w:pPr>
      <w:r w:rsidRPr="00CD4DCF">
        <w:rPr>
          <w:b/>
        </w:rPr>
        <w:t>APPENDICES</w:t>
      </w:r>
    </w:p>
    <w:p w14:paraId="7B0D91B0" w14:textId="77777777" w:rsidR="00CD4DCF" w:rsidRPr="00CD4DCF" w:rsidRDefault="00CD4DCF" w:rsidP="00CD4DCF">
      <w:pPr>
        <w:spacing w:after="0" w:line="240" w:lineRule="auto"/>
        <w:ind w:right="936" w:firstLine="360"/>
        <w:rPr>
          <w:rFonts w:ascii="Calibri" w:eastAsia="Calibri" w:hAnsi="Calibri" w:cs="Calibri"/>
        </w:rPr>
      </w:pPr>
      <w:r w:rsidRPr="00CD4DCF">
        <w:rPr>
          <w:rFonts w:cs="Arial"/>
        </w:rPr>
        <w:t>(</w:t>
      </w:r>
      <w:r w:rsidRPr="00CD4DCF">
        <w:rPr>
          <w:rFonts w:cs="Arial"/>
          <w:b/>
        </w:rPr>
        <w:t>MANDATORY LANGUAGE</w:t>
      </w:r>
      <w:r w:rsidRPr="00CD4DCF">
        <w:rPr>
          <w:rFonts w:cs="Arial"/>
        </w:rPr>
        <w:t>)</w:t>
      </w:r>
    </w:p>
    <w:p w14:paraId="529B00DA" w14:textId="77777777" w:rsidR="00CD4DCF" w:rsidRPr="00CD4DCF" w:rsidRDefault="00CD4DCF" w:rsidP="00CD4DCF">
      <w:pPr>
        <w:tabs>
          <w:tab w:val="left" w:pos="3210"/>
        </w:tabs>
        <w:spacing w:after="0" w:line="240" w:lineRule="auto"/>
        <w:ind w:right="-20"/>
        <w:rPr>
          <w:rFonts w:ascii="Calibri" w:eastAsia="Calibri" w:hAnsi="Calibri" w:cs="Calibri"/>
          <w:bCs/>
        </w:rPr>
      </w:pPr>
      <w:r w:rsidRPr="00CD4DCF">
        <w:rPr>
          <w:rFonts w:ascii="Calibri" w:eastAsia="Calibri" w:hAnsi="Calibri" w:cs="Calibri"/>
          <w:bCs/>
        </w:rPr>
        <w:tab/>
      </w:r>
    </w:p>
    <w:p w14:paraId="411DF9A1" w14:textId="013C7EAF" w:rsidR="00CD4DCF" w:rsidRDefault="00CD4DCF" w:rsidP="00CD4DCF">
      <w:pPr>
        <w:widowControl w:val="0"/>
        <w:autoSpaceDE w:val="0"/>
        <w:autoSpaceDN w:val="0"/>
        <w:adjustRightInd w:val="0"/>
        <w:spacing w:after="0" w:line="240" w:lineRule="auto"/>
        <w:ind w:right="720" w:firstLine="360"/>
      </w:pPr>
      <w:r w:rsidRPr="00CD4DCF">
        <w:rPr>
          <w:rFonts w:cs="Calibri"/>
          <w:i/>
          <w:color w:val="00B0F0"/>
        </w:rPr>
        <w:t>[Optional: Insert any additional SOP appendices]</w:t>
      </w:r>
      <w:r>
        <w:t xml:space="preserve"> </w:t>
      </w:r>
    </w:p>
    <w:sectPr w:rsidR="00CD4DCF" w:rsidSect="000A548E">
      <w:headerReference w:type="default" r:id="rId22"/>
      <w:footerReference w:type="default" r:id="rId2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6327" w14:textId="77777777" w:rsidR="00487051" w:rsidRDefault="00487051" w:rsidP="00695A12">
      <w:pPr>
        <w:spacing w:after="0" w:line="240" w:lineRule="auto"/>
      </w:pPr>
      <w:r>
        <w:separator/>
      </w:r>
    </w:p>
  </w:endnote>
  <w:endnote w:type="continuationSeparator" w:id="0">
    <w:p w14:paraId="4DA90917" w14:textId="77777777" w:rsidR="00487051" w:rsidRDefault="00487051" w:rsidP="0069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F65B" w14:textId="77777777" w:rsidR="004C24AC" w:rsidRDefault="004C24AC">
    <w:pPr>
      <w:pStyle w:val="Footer"/>
      <w:jc w:val="right"/>
    </w:pPr>
  </w:p>
  <w:p w14:paraId="67B1F65C" w14:textId="77777777" w:rsidR="004C24AC" w:rsidRDefault="004C24AC">
    <w:pPr>
      <w:pStyle w:val="Footer"/>
      <w:jc w:val="right"/>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5"/>
      <w:gridCol w:w="355"/>
      <w:gridCol w:w="3943"/>
      <w:gridCol w:w="355"/>
      <w:gridCol w:w="1962"/>
    </w:tblGrid>
    <w:tr w:rsidR="004C24AC" w14:paraId="67B1F663" w14:textId="77777777" w:rsidTr="007F4BCC">
      <w:tc>
        <w:tcPr>
          <w:tcW w:w="2808" w:type="dxa"/>
          <w:tcBorders>
            <w:top w:val="nil"/>
            <w:left w:val="nil"/>
            <w:bottom w:val="single" w:sz="8" w:space="0" w:color="auto"/>
            <w:right w:val="nil"/>
          </w:tcBorders>
        </w:tcPr>
        <w:p w14:paraId="67B1F65D" w14:textId="77777777" w:rsidR="004C24AC" w:rsidRDefault="004C24AC" w:rsidP="007F4BCC">
          <w:pPr>
            <w:pStyle w:val="Footer"/>
            <w:rPr>
              <w:b/>
            </w:rPr>
          </w:pPr>
        </w:p>
        <w:p w14:paraId="67B1F65E" w14:textId="77777777" w:rsidR="004C24AC" w:rsidRPr="00BE1E09" w:rsidRDefault="004C24AC" w:rsidP="007F4BCC">
          <w:pPr>
            <w:pStyle w:val="Footer"/>
            <w:rPr>
              <w:b/>
            </w:rPr>
          </w:pPr>
        </w:p>
      </w:tc>
      <w:tc>
        <w:tcPr>
          <w:tcW w:w="360" w:type="dxa"/>
          <w:tcBorders>
            <w:top w:val="nil"/>
            <w:left w:val="nil"/>
            <w:bottom w:val="nil"/>
            <w:right w:val="nil"/>
          </w:tcBorders>
        </w:tcPr>
        <w:p w14:paraId="67B1F65F" w14:textId="77777777" w:rsidR="004C24AC" w:rsidRDefault="004C24AC" w:rsidP="007F4BCC">
          <w:pPr>
            <w:pStyle w:val="Footer"/>
          </w:pPr>
        </w:p>
      </w:tc>
      <w:tc>
        <w:tcPr>
          <w:tcW w:w="4050" w:type="dxa"/>
          <w:tcBorders>
            <w:top w:val="nil"/>
            <w:left w:val="nil"/>
            <w:bottom w:val="single" w:sz="8" w:space="0" w:color="auto"/>
            <w:right w:val="nil"/>
          </w:tcBorders>
        </w:tcPr>
        <w:p w14:paraId="67B1F660" w14:textId="77777777" w:rsidR="004C24AC" w:rsidRDefault="004C24AC" w:rsidP="007F4BCC">
          <w:pPr>
            <w:pStyle w:val="Footer"/>
          </w:pPr>
        </w:p>
      </w:tc>
      <w:tc>
        <w:tcPr>
          <w:tcW w:w="360" w:type="dxa"/>
          <w:tcBorders>
            <w:top w:val="nil"/>
            <w:left w:val="nil"/>
            <w:bottom w:val="nil"/>
            <w:right w:val="nil"/>
          </w:tcBorders>
        </w:tcPr>
        <w:p w14:paraId="67B1F661" w14:textId="77777777" w:rsidR="004C24AC" w:rsidRDefault="004C24AC" w:rsidP="007F4BCC">
          <w:pPr>
            <w:pStyle w:val="Footer"/>
          </w:pPr>
        </w:p>
      </w:tc>
      <w:tc>
        <w:tcPr>
          <w:tcW w:w="1998" w:type="dxa"/>
          <w:tcBorders>
            <w:top w:val="nil"/>
            <w:left w:val="nil"/>
            <w:bottom w:val="single" w:sz="8" w:space="0" w:color="auto"/>
            <w:right w:val="nil"/>
          </w:tcBorders>
        </w:tcPr>
        <w:p w14:paraId="67B1F662" w14:textId="77777777" w:rsidR="004C24AC" w:rsidRDefault="004C24AC" w:rsidP="007F4BCC">
          <w:pPr>
            <w:pStyle w:val="Footer"/>
          </w:pPr>
        </w:p>
      </w:tc>
    </w:tr>
    <w:tr w:rsidR="004C24AC" w14:paraId="67B1F66A" w14:textId="77777777" w:rsidTr="007F4BCC">
      <w:tc>
        <w:tcPr>
          <w:tcW w:w="2808" w:type="dxa"/>
          <w:tcBorders>
            <w:left w:val="nil"/>
            <w:bottom w:val="nil"/>
            <w:right w:val="nil"/>
          </w:tcBorders>
          <w:vAlign w:val="bottom"/>
        </w:tcPr>
        <w:p w14:paraId="67B1F664" w14:textId="77777777" w:rsidR="004C24AC" w:rsidRPr="00BE1E09" w:rsidRDefault="004C24AC" w:rsidP="007F4BCC">
          <w:pPr>
            <w:pStyle w:val="Footer"/>
            <w:rPr>
              <w:b/>
            </w:rPr>
          </w:pPr>
          <w:r>
            <w:rPr>
              <w:b/>
            </w:rPr>
            <w:t xml:space="preserve">Approver Name    </w:t>
          </w:r>
          <w:r w:rsidRPr="00B06E22">
            <w:rPr>
              <w:sz w:val="16"/>
              <w:szCs w:val="16"/>
            </w:rPr>
            <w:t>(please print)</w:t>
          </w:r>
        </w:p>
      </w:tc>
      <w:tc>
        <w:tcPr>
          <w:tcW w:w="360" w:type="dxa"/>
          <w:tcBorders>
            <w:top w:val="nil"/>
            <w:left w:val="nil"/>
            <w:bottom w:val="nil"/>
            <w:right w:val="nil"/>
          </w:tcBorders>
        </w:tcPr>
        <w:p w14:paraId="67B1F665" w14:textId="77777777" w:rsidR="004C24AC" w:rsidRDefault="004C24AC" w:rsidP="007F4BCC">
          <w:pPr>
            <w:pStyle w:val="Footer"/>
            <w:rPr>
              <w:b/>
            </w:rPr>
          </w:pPr>
        </w:p>
      </w:tc>
      <w:tc>
        <w:tcPr>
          <w:tcW w:w="4050" w:type="dxa"/>
          <w:tcBorders>
            <w:left w:val="nil"/>
            <w:bottom w:val="nil"/>
            <w:right w:val="nil"/>
          </w:tcBorders>
          <w:vAlign w:val="bottom"/>
        </w:tcPr>
        <w:p w14:paraId="67B1F666" w14:textId="77777777" w:rsidR="004C24AC" w:rsidRPr="00317315" w:rsidRDefault="004C24AC" w:rsidP="007F4BCC">
          <w:pPr>
            <w:pStyle w:val="Footer"/>
            <w:rPr>
              <w:sz w:val="18"/>
              <w:szCs w:val="18"/>
            </w:rPr>
          </w:pPr>
          <w:r>
            <w:rPr>
              <w:b/>
            </w:rPr>
            <w:t xml:space="preserve">Approver </w:t>
          </w:r>
          <w:r w:rsidRPr="00CE7BB4">
            <w:rPr>
              <w:b/>
            </w:rPr>
            <w:t>Signature</w:t>
          </w:r>
          <w:r>
            <w:rPr>
              <w:b/>
            </w:rPr>
            <w:t xml:space="preserve">           </w:t>
          </w:r>
          <w:r w:rsidRPr="00CE7BB4">
            <w:rPr>
              <w:sz w:val="16"/>
              <w:szCs w:val="16"/>
            </w:rPr>
            <w:t>(</w:t>
          </w:r>
          <w:r w:rsidRPr="00317315">
            <w:rPr>
              <w:sz w:val="16"/>
              <w:szCs w:val="16"/>
            </w:rPr>
            <w:t xml:space="preserve">Required </w:t>
          </w:r>
          <w:r>
            <w:rPr>
              <w:sz w:val="16"/>
              <w:szCs w:val="16"/>
            </w:rPr>
            <w:t>p</w:t>
          </w:r>
          <w:r w:rsidRPr="00317315">
            <w:rPr>
              <w:sz w:val="16"/>
              <w:szCs w:val="16"/>
            </w:rPr>
            <w:t>age 1 only)</w:t>
          </w:r>
        </w:p>
      </w:tc>
      <w:tc>
        <w:tcPr>
          <w:tcW w:w="360" w:type="dxa"/>
          <w:tcBorders>
            <w:top w:val="nil"/>
            <w:left w:val="nil"/>
            <w:bottom w:val="nil"/>
            <w:right w:val="nil"/>
          </w:tcBorders>
        </w:tcPr>
        <w:p w14:paraId="67B1F667" w14:textId="77777777" w:rsidR="004C24AC" w:rsidRDefault="004C24AC" w:rsidP="007F4BCC">
          <w:pPr>
            <w:pStyle w:val="Footer"/>
            <w:rPr>
              <w:sz w:val="18"/>
              <w:szCs w:val="18"/>
            </w:rPr>
          </w:pPr>
        </w:p>
      </w:tc>
      <w:tc>
        <w:tcPr>
          <w:tcW w:w="1998" w:type="dxa"/>
          <w:tcBorders>
            <w:left w:val="nil"/>
            <w:bottom w:val="nil"/>
            <w:right w:val="nil"/>
          </w:tcBorders>
          <w:vAlign w:val="bottom"/>
        </w:tcPr>
        <w:p w14:paraId="67B1F668" w14:textId="77777777" w:rsidR="004C24AC" w:rsidRDefault="004C24AC" w:rsidP="007F4BCC">
          <w:pPr>
            <w:pStyle w:val="Footer"/>
            <w:rPr>
              <w:sz w:val="18"/>
              <w:szCs w:val="18"/>
            </w:rPr>
          </w:pPr>
        </w:p>
        <w:p w14:paraId="67B1F669" w14:textId="77777777" w:rsidR="004C24AC" w:rsidRPr="00CE7BB4" w:rsidRDefault="004C24AC" w:rsidP="007F4BCC">
          <w:pPr>
            <w:pStyle w:val="Footer"/>
            <w:rPr>
              <w:b/>
            </w:rPr>
          </w:pPr>
          <w:r w:rsidRPr="00CE7BB4">
            <w:rPr>
              <w:b/>
            </w:rPr>
            <w:t>Effective Date</w:t>
          </w:r>
        </w:p>
      </w:tc>
    </w:tr>
  </w:tbl>
  <w:p w14:paraId="67B1F66B" w14:textId="77777777" w:rsidR="004C24AC" w:rsidRDefault="004C24AC">
    <w:pPr>
      <w:pStyle w:val="Footer"/>
      <w:jc w:val="right"/>
    </w:pPr>
  </w:p>
  <w:p w14:paraId="67B1F66C" w14:textId="77777777" w:rsidR="004C24AC" w:rsidRDefault="004C24AC">
    <w:pPr>
      <w:pStyle w:val="Footer"/>
      <w:jc w:val="right"/>
    </w:pPr>
  </w:p>
  <w:p w14:paraId="67B1F66D" w14:textId="77777777" w:rsidR="004C24AC" w:rsidRDefault="004C24AC">
    <w:pPr>
      <w:pStyle w:val="Footer"/>
      <w:jc w:val="right"/>
    </w:pPr>
  </w:p>
  <w:p w14:paraId="67B1F66E" w14:textId="7467D89D" w:rsidR="004C24AC" w:rsidRPr="00D43E4D" w:rsidRDefault="00952888">
    <w:pPr>
      <w:pStyle w:val="Footer"/>
      <w:jc w:val="right"/>
    </w:pPr>
    <w:sdt>
      <w:sdtPr>
        <w:id w:val="-144284182"/>
        <w:docPartObj>
          <w:docPartGallery w:val="Page Numbers (Bottom of Page)"/>
          <w:docPartUnique/>
        </w:docPartObj>
      </w:sdtPr>
      <w:sdtEndPr/>
      <w:sdtContent>
        <w:sdt>
          <w:sdtPr>
            <w:id w:val="860082579"/>
            <w:docPartObj>
              <w:docPartGallery w:val="Page Numbers (Top of Page)"/>
              <w:docPartUnique/>
            </w:docPartObj>
          </w:sdtPr>
          <w:sdtEndPr/>
          <w:sdtContent>
            <w:r w:rsidR="004C24AC" w:rsidRPr="00D43E4D">
              <w:t xml:space="preserve">Page </w:t>
            </w:r>
            <w:r w:rsidR="004C24AC" w:rsidRPr="00D43E4D">
              <w:rPr>
                <w:bCs/>
              </w:rPr>
              <w:fldChar w:fldCharType="begin"/>
            </w:r>
            <w:r w:rsidR="004C24AC" w:rsidRPr="00D43E4D">
              <w:rPr>
                <w:bCs/>
              </w:rPr>
              <w:instrText xml:space="preserve"> PAGE </w:instrText>
            </w:r>
            <w:r w:rsidR="004C24AC" w:rsidRPr="00D43E4D">
              <w:rPr>
                <w:bCs/>
              </w:rPr>
              <w:fldChar w:fldCharType="separate"/>
            </w:r>
            <w:r w:rsidR="007423A4">
              <w:rPr>
                <w:bCs/>
                <w:noProof/>
              </w:rPr>
              <w:t>1</w:t>
            </w:r>
            <w:r w:rsidR="004C24AC" w:rsidRPr="00D43E4D">
              <w:rPr>
                <w:bCs/>
              </w:rPr>
              <w:fldChar w:fldCharType="end"/>
            </w:r>
            <w:r w:rsidR="004C24AC" w:rsidRPr="00D43E4D">
              <w:t xml:space="preserve"> of </w:t>
            </w:r>
            <w:r w:rsidR="004C24AC" w:rsidRPr="00D43E4D">
              <w:rPr>
                <w:bCs/>
              </w:rPr>
              <w:fldChar w:fldCharType="begin"/>
            </w:r>
            <w:r w:rsidR="004C24AC" w:rsidRPr="00D43E4D">
              <w:rPr>
                <w:bCs/>
              </w:rPr>
              <w:instrText xml:space="preserve"> NUMPAGES  </w:instrText>
            </w:r>
            <w:r w:rsidR="004C24AC" w:rsidRPr="00D43E4D">
              <w:rPr>
                <w:bCs/>
              </w:rPr>
              <w:fldChar w:fldCharType="separate"/>
            </w:r>
            <w:r w:rsidR="007423A4">
              <w:rPr>
                <w:bCs/>
                <w:noProof/>
              </w:rPr>
              <w:t>7</w:t>
            </w:r>
            <w:r w:rsidR="004C24AC" w:rsidRPr="00D43E4D">
              <w:rPr>
                <w:bCs/>
              </w:rPr>
              <w:fldChar w:fldCharType="end"/>
            </w:r>
          </w:sdtContent>
        </w:sdt>
      </w:sdtContent>
    </w:sdt>
  </w:p>
  <w:p w14:paraId="67B1F66F" w14:textId="77777777" w:rsidR="004C24AC" w:rsidRDefault="004C2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0810" w14:textId="77777777" w:rsidR="00487051" w:rsidRDefault="00487051" w:rsidP="00695A12">
      <w:pPr>
        <w:spacing w:after="0" w:line="240" w:lineRule="auto"/>
      </w:pPr>
      <w:r>
        <w:separator/>
      </w:r>
    </w:p>
  </w:footnote>
  <w:footnote w:type="continuationSeparator" w:id="0">
    <w:p w14:paraId="16F111D4" w14:textId="77777777" w:rsidR="00487051" w:rsidRDefault="00487051" w:rsidP="00695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905"/>
      <w:gridCol w:w="3474"/>
      <w:gridCol w:w="1681"/>
      <w:gridCol w:w="2290"/>
    </w:tblGrid>
    <w:tr w:rsidR="004C24AC" w14:paraId="1F8B9631" w14:textId="77777777" w:rsidTr="007F4BCC">
      <w:tc>
        <w:tcPr>
          <w:tcW w:w="1915" w:type="dxa"/>
        </w:tcPr>
        <w:p w14:paraId="6C7F731F" w14:textId="77777777" w:rsidR="004C24AC" w:rsidRPr="00EC72A2" w:rsidRDefault="004C24AC" w:rsidP="007F4BCC">
          <w:pPr>
            <w:pStyle w:val="Header"/>
            <w:rPr>
              <w:b/>
            </w:rPr>
          </w:pPr>
          <w:r w:rsidRPr="00EC72A2">
            <w:rPr>
              <w:b/>
            </w:rPr>
            <w:t>ORGANIZATION:</w:t>
          </w:r>
        </w:p>
      </w:tc>
      <w:tc>
        <w:tcPr>
          <w:tcW w:w="7661" w:type="dxa"/>
          <w:gridSpan w:val="3"/>
        </w:tcPr>
        <w:p w14:paraId="70704ECA" w14:textId="5B8769F8" w:rsidR="004C24AC" w:rsidRPr="00852CE4" w:rsidRDefault="004C24AC" w:rsidP="007F4BCC">
          <w:pPr>
            <w:tabs>
              <w:tab w:val="center" w:pos="4680"/>
              <w:tab w:val="right" w:pos="9360"/>
            </w:tabs>
            <w:rPr>
              <w:color w:val="00B0F0"/>
            </w:rPr>
          </w:pPr>
          <w:r w:rsidRPr="00852CE4">
            <w:rPr>
              <w:color w:val="00B0F0"/>
            </w:rPr>
            <w:t xml:space="preserve">[Insert the name of the Organization, Department or Project which owns the </w:t>
          </w:r>
          <w:r>
            <w:rPr>
              <w:color w:val="00B0F0"/>
            </w:rPr>
            <w:t>SPG</w:t>
          </w:r>
          <w:r w:rsidRPr="00852CE4">
            <w:rPr>
              <w:color w:val="00B0F0"/>
            </w:rPr>
            <w:t>]</w:t>
          </w:r>
        </w:p>
      </w:tc>
    </w:tr>
    <w:tr w:rsidR="004C24AC" w14:paraId="00B76BCC" w14:textId="77777777" w:rsidTr="007F4BCC">
      <w:tc>
        <w:tcPr>
          <w:tcW w:w="1915" w:type="dxa"/>
        </w:tcPr>
        <w:p w14:paraId="490DA48D" w14:textId="74F92B1A" w:rsidR="004C24AC" w:rsidRPr="00EC72A2" w:rsidRDefault="004C24AC" w:rsidP="007F4BCC">
          <w:pPr>
            <w:pStyle w:val="Header"/>
            <w:rPr>
              <w:b/>
            </w:rPr>
          </w:pPr>
          <w:r>
            <w:rPr>
              <w:b/>
            </w:rPr>
            <w:t>SPG</w:t>
          </w:r>
          <w:r w:rsidRPr="00EC72A2">
            <w:rPr>
              <w:b/>
            </w:rPr>
            <w:t xml:space="preserve"> TITLE:</w:t>
          </w:r>
        </w:p>
        <w:p w14:paraId="2B6E8B64" w14:textId="77777777" w:rsidR="004C24AC" w:rsidRPr="00EC72A2" w:rsidRDefault="004C24AC" w:rsidP="007F4BCC">
          <w:pPr>
            <w:pStyle w:val="Header"/>
            <w:rPr>
              <w:b/>
            </w:rPr>
          </w:pPr>
        </w:p>
      </w:tc>
      <w:tc>
        <w:tcPr>
          <w:tcW w:w="7661" w:type="dxa"/>
          <w:gridSpan w:val="3"/>
        </w:tcPr>
        <w:p w14:paraId="4AE650D2" w14:textId="074EBEA8" w:rsidR="004C24AC" w:rsidRPr="00852CE4" w:rsidRDefault="004C24AC" w:rsidP="007F4BCC">
          <w:pPr>
            <w:pStyle w:val="Header"/>
            <w:rPr>
              <w:color w:val="00B0F0"/>
            </w:rPr>
          </w:pPr>
          <w:r>
            <w:rPr>
              <w:rFonts w:cs="Calibri"/>
              <w:b/>
              <w:bCs/>
            </w:rPr>
            <w:t>Monitoring and Audit Visits</w:t>
          </w:r>
        </w:p>
      </w:tc>
    </w:tr>
    <w:tr w:rsidR="004C24AC" w14:paraId="6161AEA3" w14:textId="77777777" w:rsidTr="007F4BCC">
      <w:tc>
        <w:tcPr>
          <w:tcW w:w="1915" w:type="dxa"/>
        </w:tcPr>
        <w:p w14:paraId="17AF2CFB" w14:textId="15F786C0" w:rsidR="004C24AC" w:rsidRPr="00EC72A2" w:rsidRDefault="004C24AC" w:rsidP="007F4BCC">
          <w:pPr>
            <w:pStyle w:val="Header"/>
            <w:rPr>
              <w:b/>
            </w:rPr>
          </w:pPr>
          <w:r>
            <w:rPr>
              <w:b/>
            </w:rPr>
            <w:t>SPG</w:t>
          </w:r>
          <w:r w:rsidRPr="00EC72A2">
            <w:rPr>
              <w:b/>
            </w:rPr>
            <w:t xml:space="preserve"> ID:</w:t>
          </w:r>
        </w:p>
      </w:tc>
      <w:tc>
        <w:tcPr>
          <w:tcW w:w="3593" w:type="dxa"/>
        </w:tcPr>
        <w:p w14:paraId="365D51AE" w14:textId="53F9226E" w:rsidR="004C24AC" w:rsidRPr="00852CE4" w:rsidRDefault="004C24AC" w:rsidP="007F4BCC">
          <w:pPr>
            <w:pStyle w:val="Header"/>
            <w:rPr>
              <w:color w:val="00B0F0"/>
            </w:rPr>
          </w:pPr>
          <w:r w:rsidRPr="00852CE4">
            <w:rPr>
              <w:color w:val="00B0F0"/>
            </w:rPr>
            <w:t xml:space="preserve">[Insert the </w:t>
          </w:r>
          <w:r>
            <w:rPr>
              <w:color w:val="00B0F0"/>
            </w:rPr>
            <w:t>SPG</w:t>
          </w:r>
          <w:r w:rsidRPr="00852CE4">
            <w:rPr>
              <w:color w:val="00B0F0"/>
            </w:rPr>
            <w:t xml:space="preserve"> identifier</w:t>
          </w:r>
          <w:r>
            <w:rPr>
              <w:color w:val="00B0F0"/>
            </w:rPr>
            <w:t>]</w:t>
          </w:r>
        </w:p>
      </w:tc>
      <w:tc>
        <w:tcPr>
          <w:tcW w:w="1710" w:type="dxa"/>
        </w:tcPr>
        <w:p w14:paraId="351363E7" w14:textId="17AAB606" w:rsidR="004C24AC" w:rsidRPr="00EC72A2" w:rsidRDefault="004C24AC" w:rsidP="007F4BCC">
          <w:pPr>
            <w:pStyle w:val="Header"/>
            <w:rPr>
              <w:b/>
            </w:rPr>
          </w:pPr>
          <w:r>
            <w:rPr>
              <w:b/>
            </w:rPr>
            <w:t>SPG</w:t>
          </w:r>
          <w:r w:rsidRPr="00EC72A2">
            <w:rPr>
              <w:b/>
            </w:rPr>
            <w:t xml:space="preserve"> VERSION:</w:t>
          </w:r>
        </w:p>
      </w:tc>
      <w:tc>
        <w:tcPr>
          <w:tcW w:w="2358" w:type="dxa"/>
        </w:tcPr>
        <w:p w14:paraId="43EC756D" w14:textId="0B15B26A" w:rsidR="004C24AC" w:rsidRPr="00852CE4" w:rsidRDefault="004C24AC" w:rsidP="007F4BCC">
          <w:pPr>
            <w:pStyle w:val="Header"/>
            <w:rPr>
              <w:color w:val="00B0F0"/>
            </w:rPr>
          </w:pPr>
          <w:r w:rsidRPr="00852CE4">
            <w:rPr>
              <w:color w:val="00B0F0"/>
            </w:rPr>
            <w:t xml:space="preserve">[Insert the </w:t>
          </w:r>
          <w:r>
            <w:rPr>
              <w:color w:val="00B0F0"/>
            </w:rPr>
            <w:t>SPG</w:t>
          </w:r>
          <w:r w:rsidRPr="00852CE4">
            <w:rPr>
              <w:color w:val="00B0F0"/>
            </w:rPr>
            <w:t xml:space="preserve"> version]</w:t>
          </w:r>
        </w:p>
      </w:tc>
    </w:tr>
  </w:tbl>
  <w:p w14:paraId="67B1F659" w14:textId="77777777" w:rsidR="004C24AC" w:rsidRDefault="004C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9D2"/>
    <w:multiLevelType w:val="hybridMultilevel"/>
    <w:tmpl w:val="7C2E6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250FE1"/>
    <w:multiLevelType w:val="hybridMultilevel"/>
    <w:tmpl w:val="EB6C0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264367"/>
    <w:multiLevelType w:val="hybridMultilevel"/>
    <w:tmpl w:val="6D7CC932"/>
    <w:lvl w:ilvl="0" w:tplc="04090001">
      <w:start w:val="1"/>
      <w:numFmt w:val="bullet"/>
      <w:lvlText w:val=""/>
      <w:lvlJc w:val="left"/>
      <w:pPr>
        <w:ind w:left="1830" w:hanging="360"/>
      </w:pPr>
      <w:rPr>
        <w:rFonts w:ascii="Symbol" w:hAnsi="Symbol" w:hint="default"/>
      </w:rPr>
    </w:lvl>
    <w:lvl w:ilvl="1" w:tplc="04090003">
      <w:start w:val="1"/>
      <w:numFmt w:val="bullet"/>
      <w:lvlText w:val="o"/>
      <w:lvlJc w:val="left"/>
      <w:pPr>
        <w:ind w:left="2550" w:hanging="360"/>
      </w:pPr>
      <w:rPr>
        <w:rFonts w:ascii="Courier New" w:hAnsi="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 w15:restartNumberingAfterBreak="0">
    <w:nsid w:val="37184631"/>
    <w:multiLevelType w:val="hybridMultilevel"/>
    <w:tmpl w:val="E7068280"/>
    <w:lvl w:ilvl="0" w:tplc="9B44E56C">
      <w:numFmt w:val="bullet"/>
      <w:lvlText w:val=""/>
      <w:lvlJc w:val="left"/>
      <w:pPr>
        <w:ind w:left="1830" w:hanging="360"/>
      </w:pPr>
      <w:rPr>
        <w:rFonts w:ascii="Symbol" w:eastAsiaTheme="minorHAnsi" w:hAnsi="Symbol" w:cs="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 w15:restartNumberingAfterBreak="0">
    <w:nsid w:val="40BA59B7"/>
    <w:multiLevelType w:val="hybridMultilevel"/>
    <w:tmpl w:val="1E9C88B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5" w15:restartNumberingAfterBreak="0">
    <w:nsid w:val="4B0675D9"/>
    <w:multiLevelType w:val="hybridMultilevel"/>
    <w:tmpl w:val="0E96F352"/>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53A539C8"/>
    <w:multiLevelType w:val="hybridMultilevel"/>
    <w:tmpl w:val="D2D4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979D4"/>
    <w:multiLevelType w:val="hybridMultilevel"/>
    <w:tmpl w:val="0D30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31789"/>
    <w:multiLevelType w:val="hybridMultilevel"/>
    <w:tmpl w:val="0E32CEB2"/>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 w15:restartNumberingAfterBreak="0">
    <w:nsid w:val="6949710C"/>
    <w:multiLevelType w:val="hybridMultilevel"/>
    <w:tmpl w:val="2D28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42CF2"/>
    <w:multiLevelType w:val="hybridMultilevel"/>
    <w:tmpl w:val="0DA23FBE"/>
    <w:lvl w:ilvl="0" w:tplc="A9C0C0A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7063311">
    <w:abstractNumId w:val="10"/>
  </w:num>
  <w:num w:numId="2" w16cid:durableId="1889225981">
    <w:abstractNumId w:val="2"/>
  </w:num>
  <w:num w:numId="3" w16cid:durableId="1511330746">
    <w:abstractNumId w:val="8"/>
  </w:num>
  <w:num w:numId="4" w16cid:durableId="1890142654">
    <w:abstractNumId w:val="6"/>
  </w:num>
  <w:num w:numId="5" w16cid:durableId="1897937012">
    <w:abstractNumId w:val="4"/>
  </w:num>
  <w:num w:numId="6" w16cid:durableId="1077829148">
    <w:abstractNumId w:val="9"/>
  </w:num>
  <w:num w:numId="7" w16cid:durableId="1209803437">
    <w:abstractNumId w:val="3"/>
  </w:num>
  <w:num w:numId="8" w16cid:durableId="620692838">
    <w:abstractNumId w:val="0"/>
  </w:num>
  <w:num w:numId="9" w16cid:durableId="309988672">
    <w:abstractNumId w:val="5"/>
  </w:num>
  <w:num w:numId="10" w16cid:durableId="1075005942">
    <w:abstractNumId w:val="1"/>
  </w:num>
  <w:num w:numId="11" w16cid:durableId="1121806991">
    <w:abstractNumId w:val="7"/>
  </w:num>
  <w:num w:numId="12" w16cid:durableId="737704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D82"/>
    <w:rsid w:val="0000216D"/>
    <w:rsid w:val="000112C7"/>
    <w:rsid w:val="00013F32"/>
    <w:rsid w:val="00014165"/>
    <w:rsid w:val="000233F8"/>
    <w:rsid w:val="00023F48"/>
    <w:rsid w:val="0002493D"/>
    <w:rsid w:val="000370C5"/>
    <w:rsid w:val="00062B6E"/>
    <w:rsid w:val="000664CE"/>
    <w:rsid w:val="00082849"/>
    <w:rsid w:val="00084D82"/>
    <w:rsid w:val="00090FF4"/>
    <w:rsid w:val="000A1425"/>
    <w:rsid w:val="000A548E"/>
    <w:rsid w:val="000B1225"/>
    <w:rsid w:val="000B3B67"/>
    <w:rsid w:val="000D07E3"/>
    <w:rsid w:val="000E0B42"/>
    <w:rsid w:val="000E4FA3"/>
    <w:rsid w:val="000E6B1C"/>
    <w:rsid w:val="000F1A24"/>
    <w:rsid w:val="000F6C22"/>
    <w:rsid w:val="00101F27"/>
    <w:rsid w:val="001064FF"/>
    <w:rsid w:val="0012064F"/>
    <w:rsid w:val="00122D11"/>
    <w:rsid w:val="00126E18"/>
    <w:rsid w:val="0015343A"/>
    <w:rsid w:val="00155050"/>
    <w:rsid w:val="0017580C"/>
    <w:rsid w:val="001875D2"/>
    <w:rsid w:val="00197C8C"/>
    <w:rsid w:val="001A0491"/>
    <w:rsid w:val="001A116A"/>
    <w:rsid w:val="001C590D"/>
    <w:rsid w:val="001C755C"/>
    <w:rsid w:val="001D0CD2"/>
    <w:rsid w:val="00232AF6"/>
    <w:rsid w:val="002375C6"/>
    <w:rsid w:val="002412FC"/>
    <w:rsid w:val="00246676"/>
    <w:rsid w:val="00252494"/>
    <w:rsid w:val="002608B6"/>
    <w:rsid w:val="00267A0D"/>
    <w:rsid w:val="00274222"/>
    <w:rsid w:val="002A46FC"/>
    <w:rsid w:val="002D3111"/>
    <w:rsid w:val="002F2A64"/>
    <w:rsid w:val="002F5AE2"/>
    <w:rsid w:val="00305888"/>
    <w:rsid w:val="00317FB0"/>
    <w:rsid w:val="00320B22"/>
    <w:rsid w:val="003300F3"/>
    <w:rsid w:val="0034284D"/>
    <w:rsid w:val="003569FC"/>
    <w:rsid w:val="003752D3"/>
    <w:rsid w:val="00376847"/>
    <w:rsid w:val="003B2BE1"/>
    <w:rsid w:val="003B37CA"/>
    <w:rsid w:val="003C4BBB"/>
    <w:rsid w:val="003E2ECD"/>
    <w:rsid w:val="003E7DE5"/>
    <w:rsid w:val="00405DEF"/>
    <w:rsid w:val="00407EDA"/>
    <w:rsid w:val="004141C6"/>
    <w:rsid w:val="0041575D"/>
    <w:rsid w:val="00434D26"/>
    <w:rsid w:val="00446AF0"/>
    <w:rsid w:val="00462E34"/>
    <w:rsid w:val="00470323"/>
    <w:rsid w:val="0048558F"/>
    <w:rsid w:val="00487051"/>
    <w:rsid w:val="0049472D"/>
    <w:rsid w:val="004B68EE"/>
    <w:rsid w:val="004C078B"/>
    <w:rsid w:val="004C24AC"/>
    <w:rsid w:val="004F1783"/>
    <w:rsid w:val="004F5DCD"/>
    <w:rsid w:val="004F7537"/>
    <w:rsid w:val="004F78C0"/>
    <w:rsid w:val="00513BF2"/>
    <w:rsid w:val="00517D3C"/>
    <w:rsid w:val="00564BA4"/>
    <w:rsid w:val="00582C73"/>
    <w:rsid w:val="00591ED8"/>
    <w:rsid w:val="00596154"/>
    <w:rsid w:val="005B21B8"/>
    <w:rsid w:val="005B6C83"/>
    <w:rsid w:val="005D2433"/>
    <w:rsid w:val="005D7233"/>
    <w:rsid w:val="00602F73"/>
    <w:rsid w:val="00605A27"/>
    <w:rsid w:val="00607FCF"/>
    <w:rsid w:val="00612233"/>
    <w:rsid w:val="00613067"/>
    <w:rsid w:val="00614C25"/>
    <w:rsid w:val="00632252"/>
    <w:rsid w:val="006576F8"/>
    <w:rsid w:val="0066036C"/>
    <w:rsid w:val="0068691D"/>
    <w:rsid w:val="00691369"/>
    <w:rsid w:val="00695A12"/>
    <w:rsid w:val="00696A39"/>
    <w:rsid w:val="006B34A3"/>
    <w:rsid w:val="006C061E"/>
    <w:rsid w:val="006E01CC"/>
    <w:rsid w:val="006E62D9"/>
    <w:rsid w:val="006F0AFD"/>
    <w:rsid w:val="006F3C70"/>
    <w:rsid w:val="00703B96"/>
    <w:rsid w:val="00711FE6"/>
    <w:rsid w:val="0072349C"/>
    <w:rsid w:val="00723F8F"/>
    <w:rsid w:val="00737EFC"/>
    <w:rsid w:val="00740662"/>
    <w:rsid w:val="0074079E"/>
    <w:rsid w:val="007423A4"/>
    <w:rsid w:val="007535B8"/>
    <w:rsid w:val="00753998"/>
    <w:rsid w:val="00764C25"/>
    <w:rsid w:val="00771849"/>
    <w:rsid w:val="00786689"/>
    <w:rsid w:val="00795F34"/>
    <w:rsid w:val="00797F00"/>
    <w:rsid w:val="007B6C4D"/>
    <w:rsid w:val="007B775D"/>
    <w:rsid w:val="007C6FAF"/>
    <w:rsid w:val="007D27AD"/>
    <w:rsid w:val="007E3964"/>
    <w:rsid w:val="007E3BC2"/>
    <w:rsid w:val="007E5265"/>
    <w:rsid w:val="007F25AF"/>
    <w:rsid w:val="007F4BCC"/>
    <w:rsid w:val="007F77AD"/>
    <w:rsid w:val="00804D9A"/>
    <w:rsid w:val="00814C62"/>
    <w:rsid w:val="00817E2E"/>
    <w:rsid w:val="00834ECB"/>
    <w:rsid w:val="00845746"/>
    <w:rsid w:val="00845A02"/>
    <w:rsid w:val="00847088"/>
    <w:rsid w:val="008552BB"/>
    <w:rsid w:val="00870EF3"/>
    <w:rsid w:val="0087107F"/>
    <w:rsid w:val="00871C83"/>
    <w:rsid w:val="00883B4F"/>
    <w:rsid w:val="008A6439"/>
    <w:rsid w:val="008A6E2E"/>
    <w:rsid w:val="008C3963"/>
    <w:rsid w:val="008C613F"/>
    <w:rsid w:val="008D2236"/>
    <w:rsid w:val="008F49BF"/>
    <w:rsid w:val="008F5D01"/>
    <w:rsid w:val="009173B4"/>
    <w:rsid w:val="00920546"/>
    <w:rsid w:val="00925B05"/>
    <w:rsid w:val="00930D34"/>
    <w:rsid w:val="00931998"/>
    <w:rsid w:val="009345DC"/>
    <w:rsid w:val="00941495"/>
    <w:rsid w:val="00952888"/>
    <w:rsid w:val="00962DF9"/>
    <w:rsid w:val="00971507"/>
    <w:rsid w:val="00982B0A"/>
    <w:rsid w:val="009A63D7"/>
    <w:rsid w:val="009A7D3A"/>
    <w:rsid w:val="009B008F"/>
    <w:rsid w:val="009D33CE"/>
    <w:rsid w:val="009E4EBB"/>
    <w:rsid w:val="009E6BAF"/>
    <w:rsid w:val="00A00940"/>
    <w:rsid w:val="00A04CFA"/>
    <w:rsid w:val="00A07FC4"/>
    <w:rsid w:val="00A361F4"/>
    <w:rsid w:val="00A3694E"/>
    <w:rsid w:val="00A6289A"/>
    <w:rsid w:val="00AB5D23"/>
    <w:rsid w:val="00AE1A0B"/>
    <w:rsid w:val="00AF471D"/>
    <w:rsid w:val="00B00DBD"/>
    <w:rsid w:val="00B17B0C"/>
    <w:rsid w:val="00B222FE"/>
    <w:rsid w:val="00B261B8"/>
    <w:rsid w:val="00B310B6"/>
    <w:rsid w:val="00B3663F"/>
    <w:rsid w:val="00B37EC8"/>
    <w:rsid w:val="00B46A75"/>
    <w:rsid w:val="00B65C8D"/>
    <w:rsid w:val="00B70C75"/>
    <w:rsid w:val="00B81269"/>
    <w:rsid w:val="00B902D2"/>
    <w:rsid w:val="00B97B89"/>
    <w:rsid w:val="00BB42AC"/>
    <w:rsid w:val="00BB5A4F"/>
    <w:rsid w:val="00BD54DA"/>
    <w:rsid w:val="00BE4A7C"/>
    <w:rsid w:val="00C02513"/>
    <w:rsid w:val="00C02821"/>
    <w:rsid w:val="00C04924"/>
    <w:rsid w:val="00C13F2A"/>
    <w:rsid w:val="00C17BB4"/>
    <w:rsid w:val="00C249D9"/>
    <w:rsid w:val="00C26343"/>
    <w:rsid w:val="00C26DB2"/>
    <w:rsid w:val="00C35422"/>
    <w:rsid w:val="00C408E6"/>
    <w:rsid w:val="00C61AF4"/>
    <w:rsid w:val="00C64F55"/>
    <w:rsid w:val="00CA5F06"/>
    <w:rsid w:val="00CA707E"/>
    <w:rsid w:val="00CB0738"/>
    <w:rsid w:val="00CC2566"/>
    <w:rsid w:val="00CD4DCF"/>
    <w:rsid w:val="00CE49D5"/>
    <w:rsid w:val="00CE5BC8"/>
    <w:rsid w:val="00CF0913"/>
    <w:rsid w:val="00CF0A00"/>
    <w:rsid w:val="00D03CEF"/>
    <w:rsid w:val="00D1286C"/>
    <w:rsid w:val="00D2053A"/>
    <w:rsid w:val="00D24601"/>
    <w:rsid w:val="00D43E4D"/>
    <w:rsid w:val="00D45258"/>
    <w:rsid w:val="00D55449"/>
    <w:rsid w:val="00D83E9B"/>
    <w:rsid w:val="00D92618"/>
    <w:rsid w:val="00D95CB2"/>
    <w:rsid w:val="00DA0483"/>
    <w:rsid w:val="00DA3D98"/>
    <w:rsid w:val="00DB075C"/>
    <w:rsid w:val="00DC122D"/>
    <w:rsid w:val="00DD6A7D"/>
    <w:rsid w:val="00DE571F"/>
    <w:rsid w:val="00DE5917"/>
    <w:rsid w:val="00DE79A8"/>
    <w:rsid w:val="00DF115B"/>
    <w:rsid w:val="00DF17B0"/>
    <w:rsid w:val="00E00FEC"/>
    <w:rsid w:val="00E13643"/>
    <w:rsid w:val="00E17087"/>
    <w:rsid w:val="00E21D28"/>
    <w:rsid w:val="00E30C1D"/>
    <w:rsid w:val="00E552E3"/>
    <w:rsid w:val="00E61A84"/>
    <w:rsid w:val="00E7286D"/>
    <w:rsid w:val="00E73549"/>
    <w:rsid w:val="00E768B3"/>
    <w:rsid w:val="00E93704"/>
    <w:rsid w:val="00E93CC2"/>
    <w:rsid w:val="00E959E1"/>
    <w:rsid w:val="00EA16C4"/>
    <w:rsid w:val="00EA4B6D"/>
    <w:rsid w:val="00EB15A6"/>
    <w:rsid w:val="00EC7002"/>
    <w:rsid w:val="00ED0F8E"/>
    <w:rsid w:val="00ED4EF7"/>
    <w:rsid w:val="00ED7427"/>
    <w:rsid w:val="00F018BE"/>
    <w:rsid w:val="00F16766"/>
    <w:rsid w:val="00F21E2B"/>
    <w:rsid w:val="00F23F71"/>
    <w:rsid w:val="00F2450F"/>
    <w:rsid w:val="00F25BC3"/>
    <w:rsid w:val="00F261C0"/>
    <w:rsid w:val="00F57837"/>
    <w:rsid w:val="00F76887"/>
    <w:rsid w:val="00F77CE2"/>
    <w:rsid w:val="00F83D7C"/>
    <w:rsid w:val="00F85BE3"/>
    <w:rsid w:val="00F912DC"/>
    <w:rsid w:val="00F923F7"/>
    <w:rsid w:val="00F92F19"/>
    <w:rsid w:val="00FA2948"/>
    <w:rsid w:val="00FB3612"/>
    <w:rsid w:val="00FC53BD"/>
    <w:rsid w:val="00FC6194"/>
    <w:rsid w:val="00FD51B6"/>
    <w:rsid w:val="00FD613C"/>
    <w:rsid w:val="00FD6BAE"/>
    <w:rsid w:val="00FE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B1F630"/>
  <w15:docId w15:val="{0F9D9D51-D3CE-4BE1-967B-C9EE4D01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9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BC2"/>
    <w:pPr>
      <w:ind w:left="720"/>
      <w:contextualSpacing/>
    </w:pPr>
  </w:style>
  <w:style w:type="paragraph" w:styleId="Header">
    <w:name w:val="header"/>
    <w:basedOn w:val="Normal"/>
    <w:link w:val="HeaderChar"/>
    <w:uiPriority w:val="99"/>
    <w:unhideWhenUsed/>
    <w:rsid w:val="00695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A12"/>
  </w:style>
  <w:style w:type="paragraph" w:styleId="Footer">
    <w:name w:val="footer"/>
    <w:basedOn w:val="Normal"/>
    <w:link w:val="FooterChar"/>
    <w:uiPriority w:val="99"/>
    <w:unhideWhenUsed/>
    <w:rsid w:val="00695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A12"/>
  </w:style>
  <w:style w:type="table" w:styleId="TableGrid">
    <w:name w:val="Table Grid"/>
    <w:basedOn w:val="TableNormal"/>
    <w:uiPriority w:val="59"/>
    <w:rsid w:val="0069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67"/>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130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13067"/>
    <w:rPr>
      <w:rFonts w:ascii="Tahoma" w:eastAsia="Times New Roman" w:hAnsi="Tahoma" w:cs="Tahoma"/>
      <w:sz w:val="16"/>
      <w:szCs w:val="16"/>
    </w:rPr>
  </w:style>
  <w:style w:type="character" w:customStyle="1" w:styleId="Heading1Char">
    <w:name w:val="Heading 1 Char"/>
    <w:basedOn w:val="DefaultParagraphFont"/>
    <w:link w:val="Heading1"/>
    <w:uiPriority w:val="9"/>
    <w:rsid w:val="008F49B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A63D7"/>
    <w:rPr>
      <w:sz w:val="16"/>
      <w:szCs w:val="16"/>
    </w:rPr>
  </w:style>
  <w:style w:type="paragraph" w:styleId="CommentText">
    <w:name w:val="annotation text"/>
    <w:basedOn w:val="Normal"/>
    <w:link w:val="CommentTextChar"/>
    <w:uiPriority w:val="99"/>
    <w:unhideWhenUsed/>
    <w:rsid w:val="009A63D7"/>
    <w:pPr>
      <w:spacing w:line="240" w:lineRule="auto"/>
    </w:pPr>
    <w:rPr>
      <w:sz w:val="20"/>
      <w:szCs w:val="20"/>
    </w:rPr>
  </w:style>
  <w:style w:type="character" w:customStyle="1" w:styleId="CommentTextChar">
    <w:name w:val="Comment Text Char"/>
    <w:basedOn w:val="DefaultParagraphFont"/>
    <w:link w:val="CommentText"/>
    <w:uiPriority w:val="99"/>
    <w:rsid w:val="009A63D7"/>
    <w:rPr>
      <w:sz w:val="20"/>
      <w:szCs w:val="20"/>
    </w:rPr>
  </w:style>
  <w:style w:type="paragraph" w:styleId="CommentSubject">
    <w:name w:val="annotation subject"/>
    <w:basedOn w:val="CommentText"/>
    <w:next w:val="CommentText"/>
    <w:link w:val="CommentSubjectChar"/>
    <w:uiPriority w:val="99"/>
    <w:semiHidden/>
    <w:unhideWhenUsed/>
    <w:rsid w:val="009A63D7"/>
    <w:rPr>
      <w:b/>
      <w:bCs/>
    </w:rPr>
  </w:style>
  <w:style w:type="character" w:customStyle="1" w:styleId="CommentSubjectChar">
    <w:name w:val="Comment Subject Char"/>
    <w:basedOn w:val="CommentTextChar"/>
    <w:link w:val="CommentSubject"/>
    <w:uiPriority w:val="99"/>
    <w:semiHidden/>
    <w:rsid w:val="009A63D7"/>
    <w:rPr>
      <w:b/>
      <w:bCs/>
      <w:sz w:val="20"/>
      <w:szCs w:val="20"/>
    </w:rPr>
  </w:style>
  <w:style w:type="character" w:styleId="Hyperlink">
    <w:name w:val="Hyperlink"/>
    <w:basedOn w:val="DefaultParagraphFont"/>
    <w:uiPriority w:val="99"/>
    <w:unhideWhenUsed/>
    <w:rsid w:val="0015343A"/>
    <w:rPr>
      <w:color w:val="0000FF"/>
      <w:u w:val="single"/>
    </w:rPr>
  </w:style>
  <w:style w:type="paragraph" w:styleId="NormalWeb">
    <w:name w:val="Normal (Web)"/>
    <w:basedOn w:val="Normal"/>
    <w:uiPriority w:val="99"/>
    <w:semiHidden/>
    <w:unhideWhenUsed/>
    <w:rsid w:val="00267A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A707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E62D9"/>
    <w:pPr>
      <w:spacing w:after="0" w:line="240" w:lineRule="auto"/>
    </w:pPr>
  </w:style>
  <w:style w:type="character" w:styleId="FollowedHyperlink">
    <w:name w:val="FollowedHyperlink"/>
    <w:basedOn w:val="DefaultParagraphFont"/>
    <w:uiPriority w:val="99"/>
    <w:semiHidden/>
    <w:unhideWhenUsed/>
    <w:rsid w:val="00E768B3"/>
    <w:rPr>
      <w:color w:val="800080" w:themeColor="followedHyperlink"/>
      <w:u w:val="single"/>
    </w:rPr>
  </w:style>
  <w:style w:type="character" w:styleId="Strong">
    <w:name w:val="Strong"/>
    <w:basedOn w:val="DefaultParagraphFont"/>
    <w:uiPriority w:val="22"/>
    <w:qFormat/>
    <w:rsid w:val="00DF17B0"/>
    <w:rPr>
      <w:b/>
      <w:bCs/>
    </w:rPr>
  </w:style>
  <w:style w:type="paragraph" w:customStyle="1" w:styleId="questionnumbercell">
    <w:name w:val="questionnumbercell"/>
    <w:basedOn w:val="Normal"/>
    <w:rsid w:val="00DF17B0"/>
    <w:pPr>
      <w:spacing w:before="100" w:beforeAutospacing="1" w:after="100" w:afterAutospacing="1" w:line="240" w:lineRule="auto"/>
      <w:textAlignment w:val="top"/>
    </w:pPr>
    <w:rPr>
      <w:rFonts w:ascii="Verdana" w:eastAsia="Times New Roman" w:hAnsi="Verdana" w:cs="Times New Roman"/>
      <w:b/>
      <w:bCs/>
      <w:sz w:val="18"/>
      <w:szCs w:val="18"/>
    </w:rPr>
  </w:style>
  <w:style w:type="character" w:customStyle="1" w:styleId="redstar1">
    <w:name w:val="redstar1"/>
    <w:basedOn w:val="DefaultParagraphFont"/>
    <w:rsid w:val="00DF17B0"/>
    <w:rPr>
      <w:color w:val="FF0000"/>
    </w:rPr>
  </w:style>
  <w:style w:type="character" w:customStyle="1" w:styleId="htmlpage">
    <w:name w:val="htmlpage"/>
    <w:basedOn w:val="DefaultParagraphFont"/>
    <w:rsid w:val="00DF17B0"/>
  </w:style>
  <w:style w:type="character" w:customStyle="1" w:styleId="printanswer">
    <w:name w:val="printanswer"/>
    <w:basedOn w:val="DefaultParagraphFont"/>
    <w:rsid w:val="00DF17B0"/>
  </w:style>
  <w:style w:type="character" w:styleId="UnresolvedMention">
    <w:name w:val="Unresolved Mention"/>
    <w:basedOn w:val="DefaultParagraphFont"/>
    <w:uiPriority w:val="99"/>
    <w:semiHidden/>
    <w:unhideWhenUsed/>
    <w:rsid w:val="00E17087"/>
    <w:rPr>
      <w:color w:val="605E5C"/>
      <w:shd w:val="clear" w:color="auto" w:fill="E1DFDD"/>
    </w:rPr>
  </w:style>
  <w:style w:type="paragraph" w:customStyle="1" w:styleId="pf0">
    <w:name w:val="pf0"/>
    <w:basedOn w:val="Normal"/>
    <w:rsid w:val="00ED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D74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737">
      <w:bodyDiv w:val="1"/>
      <w:marLeft w:val="0"/>
      <w:marRight w:val="0"/>
      <w:marTop w:val="0"/>
      <w:marBottom w:val="0"/>
      <w:divBdr>
        <w:top w:val="none" w:sz="0" w:space="0" w:color="auto"/>
        <w:left w:val="none" w:sz="0" w:space="0" w:color="auto"/>
        <w:bottom w:val="none" w:sz="0" w:space="0" w:color="auto"/>
        <w:right w:val="none" w:sz="0" w:space="0" w:color="auto"/>
      </w:divBdr>
      <w:divsChild>
        <w:div w:id="1763257291">
          <w:marLeft w:val="0"/>
          <w:marRight w:val="0"/>
          <w:marTop w:val="0"/>
          <w:marBottom w:val="300"/>
          <w:divBdr>
            <w:top w:val="none" w:sz="0" w:space="0" w:color="auto"/>
            <w:left w:val="none" w:sz="0" w:space="0" w:color="auto"/>
            <w:bottom w:val="none" w:sz="0" w:space="0" w:color="auto"/>
            <w:right w:val="none" w:sz="0" w:space="0" w:color="auto"/>
          </w:divBdr>
        </w:div>
      </w:divsChild>
    </w:div>
    <w:div w:id="46884306">
      <w:bodyDiv w:val="1"/>
      <w:marLeft w:val="0"/>
      <w:marRight w:val="0"/>
      <w:marTop w:val="0"/>
      <w:marBottom w:val="0"/>
      <w:divBdr>
        <w:top w:val="none" w:sz="0" w:space="0" w:color="auto"/>
        <w:left w:val="none" w:sz="0" w:space="0" w:color="auto"/>
        <w:bottom w:val="none" w:sz="0" w:space="0" w:color="auto"/>
        <w:right w:val="none" w:sz="0" w:space="0" w:color="auto"/>
      </w:divBdr>
    </w:div>
    <w:div w:id="92634737">
      <w:bodyDiv w:val="1"/>
      <w:marLeft w:val="0"/>
      <w:marRight w:val="0"/>
      <w:marTop w:val="0"/>
      <w:marBottom w:val="0"/>
      <w:divBdr>
        <w:top w:val="none" w:sz="0" w:space="0" w:color="auto"/>
        <w:left w:val="none" w:sz="0" w:space="0" w:color="auto"/>
        <w:bottom w:val="none" w:sz="0" w:space="0" w:color="auto"/>
        <w:right w:val="none" w:sz="0" w:space="0" w:color="auto"/>
      </w:divBdr>
    </w:div>
    <w:div w:id="518349874">
      <w:bodyDiv w:val="1"/>
      <w:marLeft w:val="0"/>
      <w:marRight w:val="0"/>
      <w:marTop w:val="0"/>
      <w:marBottom w:val="0"/>
      <w:divBdr>
        <w:top w:val="none" w:sz="0" w:space="0" w:color="auto"/>
        <w:left w:val="none" w:sz="0" w:space="0" w:color="auto"/>
        <w:bottom w:val="none" w:sz="0" w:space="0" w:color="auto"/>
        <w:right w:val="none" w:sz="0" w:space="0" w:color="auto"/>
      </w:divBdr>
    </w:div>
    <w:div w:id="544295886">
      <w:bodyDiv w:val="1"/>
      <w:marLeft w:val="0"/>
      <w:marRight w:val="0"/>
      <w:marTop w:val="0"/>
      <w:marBottom w:val="0"/>
      <w:divBdr>
        <w:top w:val="none" w:sz="0" w:space="0" w:color="auto"/>
        <w:left w:val="none" w:sz="0" w:space="0" w:color="auto"/>
        <w:bottom w:val="none" w:sz="0" w:space="0" w:color="auto"/>
        <w:right w:val="none" w:sz="0" w:space="0" w:color="auto"/>
      </w:divBdr>
    </w:div>
    <w:div w:id="735519734">
      <w:bodyDiv w:val="1"/>
      <w:marLeft w:val="0"/>
      <w:marRight w:val="0"/>
      <w:marTop w:val="0"/>
      <w:marBottom w:val="0"/>
      <w:divBdr>
        <w:top w:val="none" w:sz="0" w:space="0" w:color="auto"/>
        <w:left w:val="none" w:sz="0" w:space="0" w:color="auto"/>
        <w:bottom w:val="none" w:sz="0" w:space="0" w:color="auto"/>
        <w:right w:val="none" w:sz="0" w:space="0" w:color="auto"/>
      </w:divBdr>
    </w:div>
    <w:div w:id="883181568">
      <w:bodyDiv w:val="1"/>
      <w:marLeft w:val="0"/>
      <w:marRight w:val="0"/>
      <w:marTop w:val="0"/>
      <w:marBottom w:val="0"/>
      <w:divBdr>
        <w:top w:val="none" w:sz="0" w:space="0" w:color="auto"/>
        <w:left w:val="none" w:sz="0" w:space="0" w:color="auto"/>
        <w:bottom w:val="none" w:sz="0" w:space="0" w:color="auto"/>
        <w:right w:val="none" w:sz="0" w:space="0" w:color="auto"/>
      </w:divBdr>
    </w:div>
    <w:div w:id="971249266">
      <w:bodyDiv w:val="1"/>
      <w:marLeft w:val="0"/>
      <w:marRight w:val="0"/>
      <w:marTop w:val="0"/>
      <w:marBottom w:val="0"/>
      <w:divBdr>
        <w:top w:val="none" w:sz="0" w:space="0" w:color="auto"/>
        <w:left w:val="none" w:sz="0" w:space="0" w:color="auto"/>
        <w:bottom w:val="none" w:sz="0" w:space="0" w:color="auto"/>
        <w:right w:val="none" w:sz="0" w:space="0" w:color="auto"/>
      </w:divBdr>
    </w:div>
    <w:div w:id="1119644144">
      <w:bodyDiv w:val="1"/>
      <w:marLeft w:val="0"/>
      <w:marRight w:val="0"/>
      <w:marTop w:val="0"/>
      <w:marBottom w:val="0"/>
      <w:divBdr>
        <w:top w:val="none" w:sz="0" w:space="0" w:color="auto"/>
        <w:left w:val="none" w:sz="0" w:space="0" w:color="auto"/>
        <w:bottom w:val="none" w:sz="0" w:space="0" w:color="auto"/>
        <w:right w:val="none" w:sz="0" w:space="0" w:color="auto"/>
      </w:divBdr>
    </w:div>
    <w:div w:id="1192961006">
      <w:bodyDiv w:val="1"/>
      <w:marLeft w:val="0"/>
      <w:marRight w:val="0"/>
      <w:marTop w:val="0"/>
      <w:marBottom w:val="0"/>
      <w:divBdr>
        <w:top w:val="none" w:sz="0" w:space="0" w:color="auto"/>
        <w:left w:val="none" w:sz="0" w:space="0" w:color="auto"/>
        <w:bottom w:val="none" w:sz="0" w:space="0" w:color="auto"/>
        <w:right w:val="none" w:sz="0" w:space="0" w:color="auto"/>
      </w:divBdr>
    </w:div>
    <w:div w:id="1230385285">
      <w:bodyDiv w:val="1"/>
      <w:marLeft w:val="0"/>
      <w:marRight w:val="0"/>
      <w:marTop w:val="0"/>
      <w:marBottom w:val="0"/>
      <w:divBdr>
        <w:top w:val="none" w:sz="0" w:space="0" w:color="auto"/>
        <w:left w:val="none" w:sz="0" w:space="0" w:color="auto"/>
        <w:bottom w:val="none" w:sz="0" w:space="0" w:color="auto"/>
        <w:right w:val="none" w:sz="0" w:space="0" w:color="auto"/>
      </w:divBdr>
    </w:div>
    <w:div w:id="1968469945">
      <w:bodyDiv w:val="1"/>
      <w:marLeft w:val="0"/>
      <w:marRight w:val="0"/>
      <w:marTop w:val="0"/>
      <w:marBottom w:val="0"/>
      <w:divBdr>
        <w:top w:val="none" w:sz="0" w:space="0" w:color="auto"/>
        <w:left w:val="none" w:sz="0" w:space="0" w:color="auto"/>
        <w:bottom w:val="none" w:sz="0" w:space="0" w:color="auto"/>
        <w:right w:val="none" w:sz="0" w:space="0" w:color="auto"/>
      </w:divBdr>
    </w:div>
    <w:div w:id="2118133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e37712a7ee32d29b3075c4dbe39a860e&amp;mc=true&amp;node=se21.5.312_153&amp;rgn=div8" TargetMode="External"/><Relationship Id="rId18" Type="http://schemas.openxmlformats.org/officeDocument/2006/relationships/hyperlink" Target="https://research-compliance.umich.edu/sites/default/files/resource-download/hrpp_operationsmanual.pdf" TargetMode="External"/><Relationship Id="rId3" Type="http://schemas.openxmlformats.org/officeDocument/2006/relationships/customXml" Target="../customXml/item3.xml"/><Relationship Id="rId21" Type="http://schemas.openxmlformats.org/officeDocument/2006/relationships/hyperlink" Target="http://research-compliance.umich.edu/office-human-research-compliance-review-ohrcr" TargetMode="External"/><Relationship Id="rId7" Type="http://schemas.openxmlformats.org/officeDocument/2006/relationships/settings" Target="settings.xml"/><Relationship Id="rId12" Type="http://schemas.openxmlformats.org/officeDocument/2006/relationships/hyperlink" Target="http://www.fda.gov/AboutFDA/Transparency/Basics/ucm194888.htm" TargetMode="External"/><Relationship Id="rId17" Type="http://schemas.openxmlformats.org/officeDocument/2006/relationships/hyperlink" Target="https://database.ich.org/sites/default/files/E6_R2_Addendum.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ch.org/" TargetMode="External"/><Relationship Id="rId20" Type="http://schemas.openxmlformats.org/officeDocument/2006/relationships/hyperlink" Target="https://research.medicine.umich.edu/office-research/institutional-review-boards-irbmed/guidance/standard-operating-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medicine.umich.edu/office-research/institutional-review-boards-irbmed/guidance/glossar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cfr.gov/cgi-bin/text-idx?SID=e37712a7ee32d29b3075c4dbe39a860e&amp;mc=true&amp;node=se21.8.812_143&amp;rgn=div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esearch.medicine.umich.edu/office-research/institutional-review-boards-irbmed/guidance/gloss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e37712a7ee32d29b3075c4dbe39a860e&amp;mc=true&amp;node=se21.8.812_143&amp;rgn=div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8B1404EC7BC0419CD7E75017E6AB63" ma:contentTypeVersion="1" ma:contentTypeDescription="Create a new document." ma:contentTypeScope="" ma:versionID="4b90923551de16da4e72c5a749a9e133">
  <xsd:schema xmlns:xsd="http://www.w3.org/2001/XMLSchema" xmlns:xs="http://www.w3.org/2001/XMLSchema" xmlns:p="http://schemas.microsoft.com/office/2006/metadata/properties" xmlns:ns2="9a14c067-2504-4fea-af45-7a353ba52eaa" targetNamespace="http://schemas.microsoft.com/office/2006/metadata/properties" ma:root="true" ma:fieldsID="69bb055b1ffa9d59552c2d628c66495a" ns2:_="">
    <xsd:import namespace="9a14c067-2504-4fea-af45-7a353ba52ea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4c067-2504-4fea-af45-7a353ba52e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F6A43-ACFB-CE4A-B491-9D1156802D48}">
  <ds:schemaRefs>
    <ds:schemaRef ds:uri="http://schemas.openxmlformats.org/officeDocument/2006/bibliography"/>
  </ds:schemaRefs>
</ds:datastoreItem>
</file>

<file path=customXml/itemProps2.xml><?xml version="1.0" encoding="utf-8"?>
<ds:datastoreItem xmlns:ds="http://schemas.openxmlformats.org/officeDocument/2006/customXml" ds:itemID="{239D135A-133E-46C1-9641-2E6AEE1E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4c067-2504-4fea-af45-7a353ba52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0533A-1C99-4AD1-BD71-A169261B2CBC}">
  <ds:schemaRefs>
    <ds:schemaRef ds:uri="http://schemas.microsoft.com/office/2006/documentManagement/types"/>
    <ds:schemaRef ds:uri="http://purl.org/dc/dcmitype/"/>
    <ds:schemaRef ds:uri="http://www.w3.org/XML/1998/namespace"/>
    <ds:schemaRef ds:uri="http://schemas.microsoft.com/office/infopath/2007/PartnerControls"/>
    <ds:schemaRef ds:uri="9a14c067-2504-4fea-af45-7a353ba52eaa"/>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76FC2169-E51C-4906-B186-573A5B01F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Burhop, Sue</dc:creator>
  <cp:lastModifiedBy>Benedict-Blue, Monika</cp:lastModifiedBy>
  <cp:revision>8</cp:revision>
  <cp:lastPrinted>2015-08-03T16:56:00Z</cp:lastPrinted>
  <dcterms:created xsi:type="dcterms:W3CDTF">2022-11-04T19:40:00Z</dcterms:created>
  <dcterms:modified xsi:type="dcterms:W3CDTF">2022-11-04T19:45:00Z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0x010100B48B1404EC7BC0419CD7E75017E6AB63</vt:lpwstr>
  </property>
</Properties>
</file>