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D33E3" w14:textId="32760B48" w:rsidR="00037618" w:rsidRDefault="0014734A" w:rsidP="00037618">
      <w:pPr>
        <w:spacing w:after="0" w:line="240" w:lineRule="auto"/>
        <w:ind w:right="-20"/>
        <w:rPr>
          <w:rFonts w:ascii="Calibri" w:eastAsia="Calibri" w:hAnsi="Calibri" w:cs="Calibri"/>
          <w:b/>
          <w:i/>
          <w:spacing w:val="-1"/>
          <w:sz w:val="28"/>
          <w:szCs w:val="28"/>
        </w:rPr>
      </w:pPr>
      <w:r>
        <w:rPr>
          <w:rFonts w:ascii="Calibri" w:eastAsia="Calibri" w:hAnsi="Calibri" w:cs="Calibri"/>
          <w:b/>
          <w:i/>
          <w:spacing w:val="-1"/>
          <w:sz w:val="28"/>
          <w:szCs w:val="28"/>
        </w:rPr>
        <w:t>Non</w:t>
      </w:r>
      <w:r w:rsidR="001B6B13">
        <w:rPr>
          <w:rFonts w:ascii="Calibri" w:eastAsia="Calibri" w:hAnsi="Calibri" w:cs="Calibri"/>
          <w:b/>
          <w:i/>
          <w:spacing w:val="-1"/>
          <w:sz w:val="28"/>
          <w:szCs w:val="28"/>
        </w:rPr>
        <w:t>c</w:t>
      </w:r>
      <w:r>
        <w:rPr>
          <w:rFonts w:ascii="Calibri" w:eastAsia="Calibri" w:hAnsi="Calibri" w:cs="Calibri"/>
          <w:b/>
          <w:i/>
          <w:spacing w:val="-1"/>
          <w:sz w:val="28"/>
          <w:szCs w:val="28"/>
        </w:rPr>
        <w:t>ompliance</w:t>
      </w:r>
      <w:r w:rsidR="00FA2712">
        <w:rPr>
          <w:rFonts w:ascii="Calibri" w:eastAsia="Calibri" w:hAnsi="Calibri" w:cs="Calibri"/>
          <w:b/>
          <w:i/>
          <w:spacing w:val="-1"/>
          <w:sz w:val="28"/>
          <w:szCs w:val="28"/>
        </w:rPr>
        <w:t xml:space="preserve"> in Clinical Trials</w:t>
      </w:r>
    </w:p>
    <w:p w14:paraId="7AF7ACA8" w14:textId="77777777" w:rsidR="00FB0FFA" w:rsidRDefault="00FB0FFA" w:rsidP="00037618">
      <w:pPr>
        <w:spacing w:after="0" w:line="240" w:lineRule="auto"/>
        <w:ind w:right="-20"/>
        <w:rPr>
          <w:rFonts w:ascii="Calibri" w:eastAsia="Calibri" w:hAnsi="Calibri" w:cs="Calibri"/>
          <w:b/>
          <w:bCs/>
          <w:spacing w:val="1"/>
        </w:rPr>
      </w:pPr>
    </w:p>
    <w:p w14:paraId="15AC71E5" w14:textId="77777777" w:rsidR="00F14432" w:rsidRPr="002D0719" w:rsidRDefault="00F14432" w:rsidP="00F14432">
      <w:pPr>
        <w:pStyle w:val="ListParagraph"/>
        <w:numPr>
          <w:ilvl w:val="0"/>
          <w:numId w:val="10"/>
        </w:numPr>
        <w:spacing w:after="0" w:line="240" w:lineRule="auto"/>
        <w:rPr>
          <w:b/>
        </w:rPr>
      </w:pPr>
      <w:r w:rsidRPr="002D0719">
        <w:rPr>
          <w:b/>
        </w:rPr>
        <w:t>PURPOSE</w:t>
      </w:r>
    </w:p>
    <w:p w14:paraId="139A1D49" w14:textId="77777777" w:rsidR="00214188" w:rsidRPr="00214188" w:rsidRDefault="00214188" w:rsidP="00214188">
      <w:pPr>
        <w:pStyle w:val="ListParagraph"/>
        <w:spacing w:after="0" w:line="240" w:lineRule="auto"/>
        <w:ind w:right="-20"/>
        <w:rPr>
          <w:rFonts w:ascii="Calibri" w:eastAsia="Calibri" w:hAnsi="Calibri" w:cs="Calibri"/>
        </w:rPr>
      </w:pPr>
    </w:p>
    <w:p w14:paraId="1A622AC0" w14:textId="59A6664D" w:rsidR="00ED4FE1" w:rsidRDefault="00B06676" w:rsidP="006014E7">
      <w:pPr>
        <w:spacing w:after="0" w:line="240" w:lineRule="auto"/>
        <w:ind w:left="360" w:right="1020"/>
        <w:rPr>
          <w:rFonts w:ascii="Calibri" w:eastAsia="Calibri" w:hAnsi="Calibri" w:cs="Calibri"/>
          <w:spacing w:val="-1"/>
        </w:rPr>
      </w:pPr>
      <w:r w:rsidRPr="001C50F2">
        <w:rPr>
          <w:rFonts w:ascii="Calibri" w:eastAsia="Calibri" w:hAnsi="Calibri" w:cs="Calibri"/>
          <w:spacing w:val="-1"/>
        </w:rPr>
        <w:t>Th</w:t>
      </w:r>
      <w:r w:rsidR="007C06A2" w:rsidRPr="001C50F2">
        <w:rPr>
          <w:rFonts w:ascii="Calibri" w:eastAsia="Calibri" w:hAnsi="Calibri" w:cs="Calibri"/>
          <w:spacing w:val="-1"/>
        </w:rPr>
        <w:t xml:space="preserve">is </w:t>
      </w:r>
      <w:r w:rsidR="005362E2">
        <w:rPr>
          <w:rFonts w:ascii="Calibri" w:eastAsia="Calibri" w:hAnsi="Calibri" w:cs="Calibri"/>
          <w:spacing w:val="-1"/>
        </w:rPr>
        <w:t>Standard Practice Guideline</w:t>
      </w:r>
      <w:r w:rsidRPr="001C50F2">
        <w:rPr>
          <w:rFonts w:ascii="Calibri" w:eastAsia="Calibri" w:hAnsi="Calibri" w:cs="Calibri"/>
          <w:spacing w:val="-1"/>
        </w:rPr>
        <w:t xml:space="preserve"> </w:t>
      </w:r>
      <w:r w:rsidR="00A0123B" w:rsidRPr="001C50F2">
        <w:rPr>
          <w:rFonts w:ascii="Calibri" w:eastAsia="Calibri" w:hAnsi="Calibri" w:cs="Calibri"/>
          <w:spacing w:val="-1"/>
        </w:rPr>
        <w:t>(</w:t>
      </w:r>
      <w:r w:rsidR="005362E2">
        <w:rPr>
          <w:rFonts w:ascii="Calibri" w:eastAsia="Calibri" w:hAnsi="Calibri" w:cs="Calibri"/>
          <w:spacing w:val="-1"/>
        </w:rPr>
        <w:t>SPG</w:t>
      </w:r>
      <w:r w:rsidR="00A0123B" w:rsidRPr="001C50F2">
        <w:rPr>
          <w:rFonts w:ascii="Calibri" w:eastAsia="Calibri" w:hAnsi="Calibri" w:cs="Calibri"/>
          <w:spacing w:val="-1"/>
        </w:rPr>
        <w:t>)</w:t>
      </w:r>
      <w:r w:rsidRPr="001C50F2">
        <w:rPr>
          <w:rFonts w:ascii="Calibri" w:eastAsia="Calibri" w:hAnsi="Calibri" w:cs="Calibri"/>
          <w:spacing w:val="-1"/>
        </w:rPr>
        <w:t xml:space="preserve"> </w:t>
      </w:r>
      <w:r w:rsidR="00A0123B" w:rsidRPr="001C50F2">
        <w:rPr>
          <w:rFonts w:ascii="Calibri" w:eastAsia="Calibri" w:hAnsi="Calibri" w:cs="Calibri"/>
          <w:spacing w:val="-1"/>
        </w:rPr>
        <w:t>describe</w:t>
      </w:r>
      <w:r w:rsidR="007C06A2" w:rsidRPr="001C50F2">
        <w:rPr>
          <w:rFonts w:ascii="Calibri" w:eastAsia="Calibri" w:hAnsi="Calibri" w:cs="Calibri"/>
          <w:spacing w:val="-1"/>
        </w:rPr>
        <w:t>s</w:t>
      </w:r>
      <w:r w:rsidR="00A0123B" w:rsidRPr="001C50F2">
        <w:rPr>
          <w:rFonts w:ascii="Calibri" w:eastAsia="Calibri" w:hAnsi="Calibri" w:cs="Calibri"/>
          <w:spacing w:val="-1"/>
        </w:rPr>
        <w:t xml:space="preserve"> the procedures</w:t>
      </w:r>
      <w:r w:rsidR="007C06A2" w:rsidRPr="001C50F2">
        <w:rPr>
          <w:rFonts w:ascii="Calibri" w:eastAsia="Calibri" w:hAnsi="Calibri" w:cs="Calibri"/>
          <w:spacing w:val="-1"/>
        </w:rPr>
        <w:t>, processes, and responsibilities</w:t>
      </w:r>
      <w:r w:rsidR="00A0123B" w:rsidRPr="001C50F2">
        <w:rPr>
          <w:rFonts w:ascii="Calibri" w:eastAsia="Calibri" w:hAnsi="Calibri" w:cs="Calibri"/>
          <w:spacing w:val="-1"/>
        </w:rPr>
        <w:t xml:space="preserve"> </w:t>
      </w:r>
      <w:r w:rsidR="007C06A2" w:rsidRPr="001C50F2">
        <w:rPr>
          <w:rFonts w:ascii="Calibri" w:eastAsia="Calibri" w:hAnsi="Calibri" w:cs="Calibri"/>
          <w:spacing w:val="-1"/>
        </w:rPr>
        <w:t xml:space="preserve">for </w:t>
      </w:r>
      <w:r w:rsidR="00CD2126">
        <w:rPr>
          <w:rFonts w:ascii="Calibri" w:eastAsia="Calibri" w:hAnsi="Calibri" w:cs="Calibri"/>
          <w:spacing w:val="-1"/>
        </w:rPr>
        <w:t>communicating</w:t>
      </w:r>
      <w:r w:rsidR="00AF6161">
        <w:rPr>
          <w:rFonts w:ascii="Calibri" w:eastAsia="Calibri" w:hAnsi="Calibri" w:cs="Calibri"/>
          <w:spacing w:val="-1"/>
        </w:rPr>
        <w:t xml:space="preserve">, </w:t>
      </w:r>
      <w:r w:rsidR="00F74E2E">
        <w:rPr>
          <w:rFonts w:ascii="Calibri" w:eastAsia="Calibri" w:hAnsi="Calibri" w:cs="Calibri"/>
          <w:spacing w:val="-1"/>
        </w:rPr>
        <w:t>documenting</w:t>
      </w:r>
      <w:r w:rsidR="00AF6161">
        <w:rPr>
          <w:rFonts w:ascii="Calibri" w:eastAsia="Calibri" w:hAnsi="Calibri" w:cs="Calibri"/>
          <w:spacing w:val="-1"/>
        </w:rPr>
        <w:t>, and reporting</w:t>
      </w:r>
      <w:r w:rsidR="00F74E2E">
        <w:rPr>
          <w:rFonts w:ascii="Calibri" w:eastAsia="Calibri" w:hAnsi="Calibri" w:cs="Calibri"/>
          <w:spacing w:val="-1"/>
        </w:rPr>
        <w:t xml:space="preserve"> </w:t>
      </w:r>
      <w:r w:rsidR="00B90B49">
        <w:rPr>
          <w:rFonts w:ascii="Calibri" w:eastAsia="Calibri" w:hAnsi="Calibri" w:cs="Calibri"/>
          <w:spacing w:val="-1"/>
        </w:rPr>
        <w:t xml:space="preserve">clinical </w:t>
      </w:r>
      <w:r w:rsidR="00F74E2E">
        <w:rPr>
          <w:rFonts w:ascii="Calibri" w:eastAsia="Calibri" w:hAnsi="Calibri" w:cs="Calibri"/>
          <w:spacing w:val="-1"/>
        </w:rPr>
        <w:t>research</w:t>
      </w:r>
      <w:r w:rsidR="004E2B92">
        <w:rPr>
          <w:rFonts w:ascii="Calibri" w:eastAsia="Calibri" w:hAnsi="Calibri" w:cs="Calibri"/>
          <w:spacing w:val="-1"/>
        </w:rPr>
        <w:t xml:space="preserve"> non</w:t>
      </w:r>
      <w:r w:rsidR="0014734A">
        <w:rPr>
          <w:rFonts w:ascii="Calibri" w:eastAsia="Calibri" w:hAnsi="Calibri" w:cs="Calibri"/>
          <w:spacing w:val="-1"/>
        </w:rPr>
        <w:t xml:space="preserve">compliance </w:t>
      </w:r>
      <w:r w:rsidR="00F74E2E">
        <w:rPr>
          <w:rFonts w:ascii="Calibri" w:eastAsia="Calibri" w:hAnsi="Calibri" w:cs="Calibri"/>
          <w:spacing w:val="-1"/>
        </w:rPr>
        <w:t>a</w:t>
      </w:r>
      <w:r w:rsidR="004E2B92">
        <w:rPr>
          <w:rFonts w:ascii="Calibri" w:eastAsia="Calibri" w:hAnsi="Calibri" w:cs="Calibri"/>
          <w:spacing w:val="-1"/>
        </w:rPr>
        <w:t>nd escalating cases of non</w:t>
      </w:r>
      <w:r w:rsidR="00F74E2E">
        <w:rPr>
          <w:rFonts w:ascii="Calibri" w:eastAsia="Calibri" w:hAnsi="Calibri" w:cs="Calibri"/>
          <w:spacing w:val="-1"/>
        </w:rPr>
        <w:t>compliance</w:t>
      </w:r>
      <w:r w:rsidR="000759A0">
        <w:rPr>
          <w:rFonts w:ascii="Calibri" w:eastAsia="Calibri" w:hAnsi="Calibri" w:cs="Calibri"/>
          <w:spacing w:val="-1"/>
        </w:rPr>
        <w:t xml:space="preserve"> for clinical trial</w:t>
      </w:r>
      <w:r w:rsidR="00C40913">
        <w:rPr>
          <w:rFonts w:ascii="Calibri" w:eastAsia="Calibri" w:hAnsi="Calibri" w:cs="Calibri"/>
          <w:spacing w:val="-1"/>
        </w:rPr>
        <w:t>s</w:t>
      </w:r>
      <w:r w:rsidR="00F74E2E">
        <w:rPr>
          <w:rFonts w:ascii="Calibri" w:eastAsia="Calibri" w:hAnsi="Calibri" w:cs="Calibri"/>
          <w:spacing w:val="-1"/>
        </w:rPr>
        <w:t>.</w:t>
      </w:r>
    </w:p>
    <w:p w14:paraId="2922BB5F" w14:textId="77777777" w:rsidR="00ED4FE1" w:rsidRPr="001C50F2" w:rsidRDefault="00ED4FE1" w:rsidP="00ED4FE1">
      <w:pPr>
        <w:spacing w:after="0" w:line="240" w:lineRule="auto"/>
        <w:ind w:left="367" w:right="936"/>
        <w:rPr>
          <w:rFonts w:ascii="Calibri" w:eastAsia="Calibri" w:hAnsi="Calibri" w:cs="Calibri"/>
        </w:rPr>
      </w:pPr>
      <w:r w:rsidRPr="001C50F2">
        <w:rPr>
          <w:rFonts w:cs="Arial"/>
        </w:rPr>
        <w:t>(</w:t>
      </w:r>
      <w:r w:rsidRPr="001C50F2">
        <w:rPr>
          <w:rFonts w:cs="Arial"/>
          <w:b/>
        </w:rPr>
        <w:t>MANDATORY LANGUAGE</w:t>
      </w:r>
      <w:r w:rsidRPr="001C50F2">
        <w:rPr>
          <w:rFonts w:cs="Arial"/>
        </w:rPr>
        <w:t>)</w:t>
      </w:r>
    </w:p>
    <w:p w14:paraId="347AEE80" w14:textId="77777777" w:rsidR="00D10980" w:rsidRPr="008D5E59" w:rsidRDefault="00D10980" w:rsidP="006014E7">
      <w:pPr>
        <w:spacing w:after="0" w:line="240" w:lineRule="auto"/>
        <w:ind w:left="360" w:right="1020"/>
        <w:rPr>
          <w:rFonts w:ascii="Calibri" w:eastAsia="Calibri" w:hAnsi="Calibri" w:cs="Calibri"/>
        </w:rPr>
      </w:pPr>
    </w:p>
    <w:p w14:paraId="6B1C66CF" w14:textId="77777777" w:rsidR="00F14432" w:rsidRDefault="00F14432" w:rsidP="00F14432">
      <w:pPr>
        <w:pStyle w:val="ListParagraph"/>
        <w:numPr>
          <w:ilvl w:val="0"/>
          <w:numId w:val="10"/>
        </w:numPr>
        <w:spacing w:after="0" w:line="240" w:lineRule="auto"/>
        <w:rPr>
          <w:b/>
        </w:rPr>
      </w:pPr>
      <w:r>
        <w:rPr>
          <w:b/>
        </w:rPr>
        <w:t>SCOPE</w:t>
      </w:r>
    </w:p>
    <w:p w14:paraId="3BA109E3" w14:textId="77777777" w:rsidR="00F14432" w:rsidRPr="002D0719" w:rsidRDefault="00F14432" w:rsidP="00F14432">
      <w:pPr>
        <w:pStyle w:val="ListParagraph"/>
        <w:spacing w:after="0" w:line="240" w:lineRule="auto"/>
        <w:ind w:left="360"/>
        <w:rPr>
          <w:b/>
        </w:rPr>
      </w:pPr>
    </w:p>
    <w:p w14:paraId="2C051884" w14:textId="30B18C92" w:rsidR="00F74E2E" w:rsidRDefault="00A0123B" w:rsidP="00F74E2E">
      <w:pPr>
        <w:spacing w:after="0" w:line="240" w:lineRule="auto"/>
        <w:ind w:left="367" w:right="936"/>
        <w:rPr>
          <w:rFonts w:cs="Arial"/>
        </w:rPr>
      </w:pPr>
      <w:r w:rsidRPr="001C50F2">
        <w:rPr>
          <w:rFonts w:cs="Arial"/>
        </w:rPr>
        <w:t xml:space="preserve">This </w:t>
      </w:r>
      <w:r w:rsidR="005362E2">
        <w:rPr>
          <w:rFonts w:cs="Arial"/>
        </w:rPr>
        <w:t>SPG</w:t>
      </w:r>
      <w:r w:rsidR="00BB2388" w:rsidRPr="001C50F2">
        <w:rPr>
          <w:rFonts w:cs="Arial"/>
        </w:rPr>
        <w:t xml:space="preserve"> </w:t>
      </w:r>
      <w:r w:rsidR="007C06A2" w:rsidRPr="001C50F2">
        <w:rPr>
          <w:rFonts w:cs="Arial"/>
        </w:rPr>
        <w:t>applies to all</w:t>
      </w:r>
      <w:r w:rsidR="00A75C54">
        <w:rPr>
          <w:rFonts w:cs="Arial"/>
        </w:rPr>
        <w:t xml:space="preserve"> </w:t>
      </w:r>
      <w:r w:rsidR="00F74E2E">
        <w:rPr>
          <w:rFonts w:cs="Arial"/>
        </w:rPr>
        <w:t>research</w:t>
      </w:r>
      <w:r w:rsidRPr="001C50F2">
        <w:rPr>
          <w:rFonts w:cs="Arial"/>
        </w:rPr>
        <w:t xml:space="preserve"> staff</w:t>
      </w:r>
      <w:r w:rsidR="00F74E2E">
        <w:rPr>
          <w:rFonts w:cs="Arial"/>
        </w:rPr>
        <w:t xml:space="preserve"> </w:t>
      </w:r>
      <w:r w:rsidR="005362E2">
        <w:rPr>
          <w:rFonts w:cs="Arial"/>
        </w:rPr>
        <w:t xml:space="preserve">including sponsors and monitors </w:t>
      </w:r>
      <w:r w:rsidR="00F74E2E">
        <w:rPr>
          <w:rFonts w:cs="Arial"/>
        </w:rPr>
        <w:t>involved in the conduct</w:t>
      </w:r>
      <w:r w:rsidR="001A50AE">
        <w:rPr>
          <w:rFonts w:cs="Arial"/>
        </w:rPr>
        <w:t xml:space="preserve"> and management</w:t>
      </w:r>
      <w:r w:rsidR="00F74E2E">
        <w:rPr>
          <w:rFonts w:cs="Arial"/>
        </w:rPr>
        <w:t xml:space="preserve"> </w:t>
      </w:r>
      <w:r w:rsidR="004E4BC6">
        <w:rPr>
          <w:rFonts w:cs="Arial"/>
        </w:rPr>
        <w:t>of clinical</w:t>
      </w:r>
      <w:r w:rsidR="00F74E2E">
        <w:rPr>
          <w:rFonts w:cs="Arial"/>
        </w:rPr>
        <w:t xml:space="preserve"> trial</w:t>
      </w:r>
      <w:r w:rsidR="00154C5A">
        <w:rPr>
          <w:rFonts w:cs="Arial"/>
        </w:rPr>
        <w:t>s</w:t>
      </w:r>
      <w:r w:rsidR="00F74E2E">
        <w:rPr>
          <w:rFonts w:cs="Arial"/>
        </w:rPr>
        <w:t xml:space="preserve"> and </w:t>
      </w:r>
      <w:r w:rsidR="00D42E27">
        <w:rPr>
          <w:rFonts w:cs="Arial"/>
        </w:rPr>
        <w:t>the</w:t>
      </w:r>
      <w:r w:rsidR="00154C5A">
        <w:rPr>
          <w:rFonts w:cs="Arial"/>
        </w:rPr>
        <w:t>ir</w:t>
      </w:r>
      <w:r w:rsidR="00D42E27">
        <w:rPr>
          <w:rFonts w:cs="Arial"/>
        </w:rPr>
        <w:t xml:space="preserve"> </w:t>
      </w:r>
      <w:r w:rsidR="00F74E2E">
        <w:rPr>
          <w:rFonts w:cs="Arial"/>
        </w:rPr>
        <w:t>interaction</w:t>
      </w:r>
      <w:r w:rsidR="00D42E27">
        <w:rPr>
          <w:rFonts w:cs="Arial"/>
        </w:rPr>
        <w:t>s</w:t>
      </w:r>
      <w:r w:rsidR="00F74E2E">
        <w:rPr>
          <w:rFonts w:cs="Arial"/>
        </w:rPr>
        <w:t xml:space="preserve"> </w:t>
      </w:r>
      <w:r w:rsidR="004E4BC6">
        <w:rPr>
          <w:rFonts w:cs="Arial"/>
        </w:rPr>
        <w:t>with associated</w:t>
      </w:r>
      <w:r w:rsidR="00D42E27">
        <w:rPr>
          <w:rFonts w:cs="Arial"/>
        </w:rPr>
        <w:t xml:space="preserve"> clinical research</w:t>
      </w:r>
      <w:r w:rsidR="00F74E2E">
        <w:rPr>
          <w:rFonts w:cs="Arial"/>
        </w:rPr>
        <w:t xml:space="preserve"> </w:t>
      </w:r>
      <w:r w:rsidR="00C40913">
        <w:rPr>
          <w:rFonts w:cs="Arial"/>
        </w:rPr>
        <w:t>participants.</w:t>
      </w:r>
    </w:p>
    <w:p w14:paraId="06844ADD" w14:textId="77777777" w:rsidR="00A0123B" w:rsidRDefault="00934E30" w:rsidP="00ED151D">
      <w:pPr>
        <w:spacing w:after="0" w:line="240" w:lineRule="auto"/>
        <w:ind w:left="367" w:right="936"/>
        <w:rPr>
          <w:rFonts w:cs="Arial"/>
        </w:rPr>
      </w:pPr>
      <w:r w:rsidRPr="001C50F2">
        <w:rPr>
          <w:rFonts w:cs="Arial"/>
        </w:rPr>
        <w:t>(</w:t>
      </w:r>
      <w:r w:rsidRPr="001C50F2">
        <w:rPr>
          <w:rFonts w:cs="Arial"/>
          <w:b/>
        </w:rPr>
        <w:t>MANDATORY LANGUAGE</w:t>
      </w:r>
      <w:r w:rsidRPr="001C50F2">
        <w:rPr>
          <w:rFonts w:cs="Arial"/>
        </w:rPr>
        <w:t>)</w:t>
      </w:r>
    </w:p>
    <w:p w14:paraId="1C38BEED" w14:textId="77777777" w:rsidR="00ED4FE1" w:rsidRPr="001C50F2" w:rsidRDefault="00ED4FE1" w:rsidP="00ED151D">
      <w:pPr>
        <w:spacing w:after="0" w:line="240" w:lineRule="auto"/>
        <w:ind w:left="367" w:right="936"/>
        <w:rPr>
          <w:rFonts w:ascii="Calibri" w:eastAsia="Calibri" w:hAnsi="Calibri" w:cs="Calibri"/>
        </w:rPr>
      </w:pPr>
    </w:p>
    <w:p w14:paraId="48015E3E" w14:textId="1EA58CCC" w:rsidR="00ED4FE1" w:rsidRDefault="00ED4FE1" w:rsidP="00ED4FE1">
      <w:pPr>
        <w:widowControl w:val="0"/>
        <w:autoSpaceDE w:val="0"/>
        <w:autoSpaceDN w:val="0"/>
        <w:adjustRightInd w:val="0"/>
        <w:spacing w:after="0" w:line="240" w:lineRule="auto"/>
        <w:ind w:left="360" w:right="720"/>
        <w:rPr>
          <w:rFonts w:cs="Calibri"/>
          <w:i/>
          <w:color w:val="00B0F0"/>
        </w:rPr>
      </w:pPr>
      <w:r>
        <w:rPr>
          <w:rFonts w:cs="Calibri"/>
          <w:i/>
          <w:color w:val="00B0F0"/>
        </w:rPr>
        <w:t>[Optional: Insert any additional details necessary to furth</w:t>
      </w:r>
      <w:r w:rsidR="00331682">
        <w:rPr>
          <w:rFonts w:cs="Calibri"/>
          <w:i/>
          <w:color w:val="00B0F0"/>
        </w:rPr>
        <w:t xml:space="preserve">er define the scope of this </w:t>
      </w:r>
      <w:r w:rsidR="005362E2">
        <w:rPr>
          <w:rFonts w:cs="Calibri"/>
          <w:i/>
          <w:color w:val="00B0F0"/>
        </w:rPr>
        <w:t>SPG</w:t>
      </w:r>
      <w:r w:rsidRPr="00CD079E">
        <w:rPr>
          <w:rFonts w:cs="Calibri"/>
          <w:i/>
          <w:color w:val="00B0F0"/>
        </w:rPr>
        <w:t>]</w:t>
      </w:r>
    </w:p>
    <w:p w14:paraId="778949AF" w14:textId="77777777" w:rsidR="00F14432" w:rsidRPr="00CD079E" w:rsidRDefault="00F14432" w:rsidP="00ED4FE1">
      <w:pPr>
        <w:widowControl w:val="0"/>
        <w:autoSpaceDE w:val="0"/>
        <w:autoSpaceDN w:val="0"/>
        <w:adjustRightInd w:val="0"/>
        <w:spacing w:after="0" w:line="240" w:lineRule="auto"/>
        <w:ind w:left="360" w:right="720"/>
        <w:rPr>
          <w:rFonts w:cs="Calibri"/>
          <w:i/>
          <w:color w:val="00B0F0"/>
        </w:rPr>
      </w:pPr>
    </w:p>
    <w:p w14:paraId="68DCC49E" w14:textId="77777777" w:rsidR="00F14432" w:rsidRPr="002D0719" w:rsidRDefault="00F14432" w:rsidP="00F14432">
      <w:pPr>
        <w:pStyle w:val="ListParagraph"/>
        <w:numPr>
          <w:ilvl w:val="0"/>
          <w:numId w:val="10"/>
        </w:numPr>
        <w:spacing w:after="0" w:line="240" w:lineRule="auto"/>
        <w:rPr>
          <w:b/>
        </w:rPr>
      </w:pPr>
      <w:r>
        <w:rPr>
          <w:b/>
        </w:rPr>
        <w:t>POLICY</w:t>
      </w:r>
    </w:p>
    <w:p w14:paraId="786FDFF3" w14:textId="77777777" w:rsidR="00F14432" w:rsidRPr="001C50F2" w:rsidRDefault="00F14432" w:rsidP="00F14432">
      <w:pPr>
        <w:pStyle w:val="ListParagraph"/>
        <w:spacing w:after="0" w:line="240" w:lineRule="auto"/>
        <w:ind w:left="360" w:right="-20"/>
      </w:pPr>
    </w:p>
    <w:p w14:paraId="2D612BE8" w14:textId="48ACF4B7" w:rsidR="005362E2" w:rsidRPr="00972A57" w:rsidRDefault="005362E2" w:rsidP="00384C41">
      <w:pPr>
        <w:spacing w:after="0" w:line="240" w:lineRule="auto"/>
        <w:ind w:left="360" w:right="-20"/>
        <w:rPr>
          <w:rFonts w:cs="Calibri"/>
          <w:b/>
        </w:rPr>
      </w:pPr>
      <w:r w:rsidRPr="00972A57">
        <w:rPr>
          <w:rFonts w:cs="Calibri"/>
          <w:b/>
        </w:rPr>
        <w:t>Good Clinical Practice (</w:t>
      </w:r>
      <w:r w:rsidR="00972A57">
        <w:rPr>
          <w:rFonts w:cs="Calibri"/>
          <w:b/>
        </w:rPr>
        <w:t xml:space="preserve">ICH </w:t>
      </w:r>
      <w:r w:rsidRPr="00972A57">
        <w:rPr>
          <w:rFonts w:cs="Calibri"/>
          <w:b/>
        </w:rPr>
        <w:t>GCP)</w:t>
      </w:r>
    </w:p>
    <w:p w14:paraId="7B77B27F" w14:textId="77777777" w:rsidR="005362E2" w:rsidRDefault="005362E2" w:rsidP="00384C41">
      <w:pPr>
        <w:spacing w:after="0" w:line="240" w:lineRule="auto"/>
        <w:ind w:left="360" w:right="-20"/>
        <w:rPr>
          <w:rFonts w:cs="Calibri"/>
        </w:rPr>
      </w:pPr>
    </w:p>
    <w:p w14:paraId="76EF6576" w14:textId="7B0F2536" w:rsidR="00384C41" w:rsidRPr="003D2BFA" w:rsidRDefault="003D2BFA" w:rsidP="00384C41">
      <w:pPr>
        <w:spacing w:after="0" w:line="240" w:lineRule="auto"/>
        <w:ind w:left="360" w:right="-20"/>
        <w:rPr>
          <w:rFonts w:cs="Calibri"/>
          <w:i/>
        </w:rPr>
      </w:pPr>
      <w:r w:rsidRPr="001C50F2">
        <w:rPr>
          <w:rFonts w:cs="Calibri"/>
        </w:rPr>
        <w:t xml:space="preserve">This </w:t>
      </w:r>
      <w:r w:rsidR="005362E2">
        <w:rPr>
          <w:rFonts w:cs="Calibri"/>
        </w:rPr>
        <w:t>SPG</w:t>
      </w:r>
      <w:r w:rsidRPr="001C50F2">
        <w:rPr>
          <w:rFonts w:cs="Calibri"/>
        </w:rPr>
        <w:t xml:space="preserve"> </w:t>
      </w:r>
      <w:r w:rsidR="005362E2">
        <w:rPr>
          <w:rFonts w:cs="Calibri"/>
        </w:rPr>
        <w:t>aligns with</w:t>
      </w:r>
      <w:r w:rsidR="005362E2" w:rsidRPr="001C50F2">
        <w:rPr>
          <w:rFonts w:cs="Calibri"/>
        </w:rPr>
        <w:t xml:space="preserve"> </w:t>
      </w:r>
      <w:r w:rsidRPr="001C50F2">
        <w:rPr>
          <w:rFonts w:cs="Calibri"/>
        </w:rPr>
        <w:t>the Good Clinical Practice</w:t>
      </w:r>
      <w:r>
        <w:rPr>
          <w:rFonts w:cs="Calibri"/>
        </w:rPr>
        <w:t xml:space="preserve"> (</w:t>
      </w:r>
      <w:r w:rsidR="00972A57">
        <w:rPr>
          <w:rFonts w:cs="Calibri"/>
        </w:rPr>
        <w:t xml:space="preserve">ICH </w:t>
      </w:r>
      <w:r>
        <w:rPr>
          <w:rFonts w:cs="Calibri"/>
        </w:rPr>
        <w:t>GCP)</w:t>
      </w:r>
      <w:r w:rsidRPr="001C50F2">
        <w:rPr>
          <w:rFonts w:cs="Calibri"/>
        </w:rPr>
        <w:t xml:space="preserve"> guidelines</w:t>
      </w:r>
      <w:r>
        <w:rPr>
          <w:rFonts w:cs="Calibri"/>
        </w:rPr>
        <w:t xml:space="preserve"> </w:t>
      </w:r>
      <w:r w:rsidRPr="001C50F2">
        <w:rPr>
          <w:rFonts w:cs="Calibri"/>
        </w:rPr>
        <w:t>established by the International Co</w:t>
      </w:r>
      <w:r w:rsidR="00EB1590">
        <w:rPr>
          <w:rFonts w:cs="Calibri"/>
        </w:rPr>
        <w:t>uncil</w:t>
      </w:r>
      <w:r>
        <w:rPr>
          <w:rFonts w:cs="Calibri"/>
        </w:rPr>
        <w:t xml:space="preserve"> on Harmonization (ICH). </w:t>
      </w:r>
      <w:r>
        <w:rPr>
          <w:rFonts w:cs="Calibri"/>
          <w:spacing w:val="-4"/>
        </w:rPr>
        <w:t xml:space="preserve">Section 4.5.3 states </w:t>
      </w:r>
      <w:r>
        <w:rPr>
          <w:rFonts w:cs="Calibri"/>
          <w:i/>
          <w:spacing w:val="-4"/>
        </w:rPr>
        <w:t xml:space="preserve">The investigator, or person designated by the investigator, should </w:t>
      </w:r>
      <w:r w:rsidR="002A2DC9">
        <w:rPr>
          <w:rFonts w:cs="Calibri"/>
          <w:i/>
          <w:spacing w:val="-4"/>
        </w:rPr>
        <w:t>document,</w:t>
      </w:r>
      <w:r>
        <w:rPr>
          <w:rFonts w:cs="Calibri"/>
          <w:i/>
          <w:spacing w:val="-4"/>
        </w:rPr>
        <w:t xml:space="preserve"> and explain any deviation from the approved protocol. </w:t>
      </w:r>
    </w:p>
    <w:p w14:paraId="59144731" w14:textId="77777777" w:rsidR="001C50F2" w:rsidRDefault="001C50F2" w:rsidP="00963603">
      <w:pPr>
        <w:spacing w:after="0" w:line="240" w:lineRule="auto"/>
        <w:ind w:left="360" w:right="-20"/>
        <w:rPr>
          <w:rFonts w:cs="Calibri"/>
        </w:rPr>
      </w:pPr>
    </w:p>
    <w:p w14:paraId="79FC0F38" w14:textId="7136C597" w:rsidR="008B73CF" w:rsidRDefault="008B73CF" w:rsidP="00963603">
      <w:pPr>
        <w:spacing w:after="0" w:line="240" w:lineRule="auto"/>
        <w:ind w:left="360" w:right="-20"/>
        <w:rPr>
          <w:rFonts w:cs="Calibri"/>
          <w:i/>
        </w:rPr>
      </w:pPr>
      <w:r>
        <w:rPr>
          <w:rFonts w:cs="Calibri"/>
        </w:rPr>
        <w:t xml:space="preserve">In addition, Section 5.20.1 stipulates </w:t>
      </w:r>
      <w:r>
        <w:rPr>
          <w:rFonts w:cs="Calibri"/>
          <w:i/>
        </w:rPr>
        <w:t>noncompliance with the protocol, SOPs, GCP, and/or applicable regulatory requirement(s) by an investigator/institution, or by a member(s) of the sponsor’s staff should lead to prompt action by the sponsor to secure compliance.</w:t>
      </w:r>
    </w:p>
    <w:p w14:paraId="55E0D12D" w14:textId="77777777" w:rsidR="008B73CF" w:rsidRDefault="008B73CF" w:rsidP="00963603">
      <w:pPr>
        <w:spacing w:after="0" w:line="240" w:lineRule="auto"/>
        <w:ind w:left="360" w:right="-20"/>
        <w:rPr>
          <w:rFonts w:cs="Calibri"/>
          <w:i/>
        </w:rPr>
      </w:pPr>
    </w:p>
    <w:p w14:paraId="2CC592AD" w14:textId="7EB44DB8" w:rsidR="008B73CF" w:rsidRPr="008B73CF" w:rsidRDefault="008B73CF" w:rsidP="00963603">
      <w:pPr>
        <w:spacing w:after="0" w:line="240" w:lineRule="auto"/>
        <w:ind w:left="360" w:right="-20"/>
        <w:rPr>
          <w:rFonts w:cs="Calibri"/>
          <w:i/>
        </w:rPr>
      </w:pPr>
      <w:r>
        <w:rPr>
          <w:rFonts w:cs="Calibri"/>
        </w:rPr>
        <w:t xml:space="preserve">Finally, ICH Section 5.20.2 makes note </w:t>
      </w:r>
      <w:r w:rsidR="00156C52">
        <w:rPr>
          <w:rFonts w:cs="Calibri"/>
        </w:rPr>
        <w:t xml:space="preserve">of </w:t>
      </w:r>
      <w:r>
        <w:rPr>
          <w:rFonts w:cs="Calibri"/>
        </w:rPr>
        <w:t xml:space="preserve">actions to be taken for serious and/or persistent noncompliance, indicating </w:t>
      </w:r>
      <w:r>
        <w:rPr>
          <w:rFonts w:cs="Calibri"/>
          <w:i/>
        </w:rPr>
        <w:t>If the monitoring and/or auditing identifies serious and/or persistent no</w:t>
      </w:r>
      <w:r w:rsidR="00D77B01">
        <w:rPr>
          <w:rFonts w:cs="Calibri"/>
          <w:i/>
        </w:rPr>
        <w:t>n</w:t>
      </w:r>
      <w:r>
        <w:rPr>
          <w:rFonts w:cs="Calibri"/>
          <w:i/>
        </w:rPr>
        <w:t xml:space="preserve">compliance on the part of an investigator/institution, the sponsor should terminate the investigator’s/institution’s participation in the trial. </w:t>
      </w:r>
    </w:p>
    <w:p w14:paraId="3298BCD5" w14:textId="77777777" w:rsidR="008B73CF" w:rsidRDefault="008B73CF" w:rsidP="00963603">
      <w:pPr>
        <w:spacing w:after="0" w:line="240" w:lineRule="auto"/>
        <w:ind w:left="360" w:right="-20"/>
        <w:rPr>
          <w:rFonts w:cs="Calibri"/>
          <w:i/>
        </w:rPr>
      </w:pPr>
    </w:p>
    <w:p w14:paraId="29638CB9" w14:textId="5076C454" w:rsidR="003E3D85" w:rsidRPr="008552BB" w:rsidRDefault="003E3D85" w:rsidP="003E3D85">
      <w:pPr>
        <w:widowControl w:val="0"/>
        <w:autoSpaceDE w:val="0"/>
        <w:autoSpaceDN w:val="0"/>
        <w:adjustRightInd w:val="0"/>
        <w:spacing w:line="239" w:lineRule="auto"/>
        <w:ind w:left="360" w:right="720"/>
        <w:rPr>
          <w:rFonts w:cs="Calibri"/>
          <w:spacing w:val="-4"/>
        </w:rPr>
      </w:pPr>
      <w:r w:rsidRPr="0066036C">
        <w:rPr>
          <w:rFonts w:cs="Calibri"/>
          <w:b/>
          <w:spacing w:val="-4"/>
        </w:rPr>
        <w:t>FDA Regulation</w:t>
      </w:r>
      <w:r w:rsidR="005362E2">
        <w:rPr>
          <w:rFonts w:cs="Calibri"/>
          <w:b/>
          <w:spacing w:val="-4"/>
        </w:rPr>
        <w:t xml:space="preserve">(s) </w:t>
      </w:r>
      <w:r w:rsidR="005362E2">
        <w:rPr>
          <w:rFonts w:cs="Calibri"/>
          <w:spacing w:val="-4"/>
        </w:rPr>
        <w:t>(if applicable)</w:t>
      </w:r>
      <w:r w:rsidRPr="0066036C">
        <w:rPr>
          <w:rFonts w:cs="Calibri"/>
          <w:b/>
          <w:spacing w:val="-4"/>
        </w:rPr>
        <w:tab/>
      </w:r>
      <w:r>
        <w:rPr>
          <w:rFonts w:cs="Calibri"/>
          <w:spacing w:val="-4"/>
        </w:rPr>
        <w:tab/>
      </w:r>
      <w:r>
        <w:rPr>
          <w:rFonts w:cs="Calibri"/>
          <w:spacing w:val="-4"/>
        </w:rPr>
        <w:tab/>
      </w:r>
      <w:r>
        <w:rPr>
          <w:rFonts w:cs="Calibri"/>
          <w:spacing w:val="-4"/>
        </w:rPr>
        <w:tab/>
      </w:r>
      <w:r>
        <w:rPr>
          <w:rFonts w:cs="Calibri"/>
          <w:spacing w:val="-4"/>
        </w:rPr>
        <w:tab/>
      </w:r>
    </w:p>
    <w:p w14:paraId="5E4EBA09" w14:textId="38AD53E3" w:rsidR="00427CAA" w:rsidRPr="00427CAA" w:rsidRDefault="00427CAA" w:rsidP="00427CAA">
      <w:pPr>
        <w:spacing w:before="100" w:beforeAutospacing="1" w:after="0" w:line="240" w:lineRule="auto"/>
        <w:ind w:left="360"/>
        <w:rPr>
          <w:rFonts w:eastAsia="Times New Roman" w:cs="Times New Roman"/>
          <w:lang w:val="en"/>
        </w:rPr>
      </w:pPr>
      <w:r w:rsidRPr="00427CAA">
        <w:rPr>
          <w:rFonts w:eastAsia="Times New Roman" w:cs="Times New Roman"/>
          <w:lang w:val="en"/>
        </w:rPr>
        <w:lastRenderedPageBreak/>
        <w:t xml:space="preserve">21 CFR 56.108(b) requires that the IRB </w:t>
      </w:r>
      <w:r w:rsidR="00156C52">
        <w:rPr>
          <w:rFonts w:eastAsia="Times New Roman" w:cs="Times New Roman"/>
          <w:lang w:val="en"/>
        </w:rPr>
        <w:t xml:space="preserve">shall follow </w:t>
      </w:r>
      <w:r w:rsidRPr="00427CAA">
        <w:rPr>
          <w:rFonts w:eastAsia="Times New Roman" w:cs="Times New Roman"/>
          <w:lang w:val="en"/>
        </w:rPr>
        <w:t>written procedures for ensuring prompt reporting to the IRB, appropriate institutional officials, and the Food and Drug Administration of:</w:t>
      </w:r>
    </w:p>
    <w:p w14:paraId="0D43C94F" w14:textId="77777777" w:rsidR="00427CAA" w:rsidRPr="00427CAA" w:rsidRDefault="00427CAA" w:rsidP="00427CAA">
      <w:pPr>
        <w:numPr>
          <w:ilvl w:val="0"/>
          <w:numId w:val="15"/>
        </w:numPr>
        <w:spacing w:before="100" w:beforeAutospacing="1" w:after="100" w:afterAutospacing="1" w:line="240" w:lineRule="auto"/>
        <w:rPr>
          <w:rFonts w:eastAsia="Times New Roman" w:cs="Times New Roman"/>
          <w:lang w:val="en"/>
        </w:rPr>
      </w:pPr>
      <w:r w:rsidRPr="00427CAA">
        <w:rPr>
          <w:rFonts w:eastAsia="Times New Roman" w:cs="Times New Roman"/>
          <w:lang w:val="en"/>
        </w:rPr>
        <w:t xml:space="preserve">Any unanticipated problems involving risks to human subjects or others; </w:t>
      </w:r>
    </w:p>
    <w:p w14:paraId="7C8E8D99" w14:textId="4689EC77" w:rsidR="00427CAA" w:rsidRPr="00427CAA" w:rsidRDefault="00D77B01" w:rsidP="00427CAA">
      <w:pPr>
        <w:numPr>
          <w:ilvl w:val="0"/>
          <w:numId w:val="15"/>
        </w:numPr>
        <w:spacing w:before="100" w:beforeAutospacing="1" w:after="100" w:afterAutospacing="1" w:line="240" w:lineRule="auto"/>
        <w:rPr>
          <w:rFonts w:eastAsia="Times New Roman" w:cs="Times New Roman"/>
          <w:lang w:val="en"/>
        </w:rPr>
      </w:pPr>
      <w:r>
        <w:rPr>
          <w:rFonts w:eastAsia="Times New Roman" w:cs="Times New Roman"/>
          <w:lang w:val="en"/>
        </w:rPr>
        <w:t>A</w:t>
      </w:r>
      <w:r w:rsidR="00427CAA" w:rsidRPr="00427CAA">
        <w:rPr>
          <w:rFonts w:eastAsia="Times New Roman" w:cs="Times New Roman"/>
          <w:lang w:val="en"/>
        </w:rPr>
        <w:t xml:space="preserve">ny instance of serious or continuing noncompliance with these regulations or the requirements or determinations of the IRB; or </w:t>
      </w:r>
    </w:p>
    <w:p w14:paraId="03DB25BD" w14:textId="34415D22" w:rsidR="00BB3C4A" w:rsidRPr="00427CAA" w:rsidRDefault="00D77B01" w:rsidP="00427CAA">
      <w:pPr>
        <w:numPr>
          <w:ilvl w:val="0"/>
          <w:numId w:val="15"/>
        </w:numPr>
        <w:spacing w:before="100" w:beforeAutospacing="1" w:after="100" w:afterAutospacing="1" w:line="240" w:lineRule="auto"/>
        <w:rPr>
          <w:rFonts w:eastAsia="Times New Roman" w:cs="Times New Roman"/>
          <w:lang w:val="en"/>
        </w:rPr>
      </w:pPr>
      <w:r>
        <w:rPr>
          <w:rFonts w:eastAsia="Times New Roman" w:cs="Times New Roman"/>
          <w:lang w:val="en"/>
        </w:rPr>
        <w:t>A</w:t>
      </w:r>
      <w:r w:rsidR="00427CAA" w:rsidRPr="00427CAA">
        <w:rPr>
          <w:rFonts w:eastAsia="Times New Roman" w:cs="Times New Roman"/>
          <w:lang w:val="en"/>
        </w:rPr>
        <w:t>ny suspension or termination of IRB approval.</w:t>
      </w:r>
    </w:p>
    <w:p w14:paraId="09438095" w14:textId="6F98F73C" w:rsidR="006A4EE1" w:rsidRPr="00972A57" w:rsidRDefault="006A4EE1" w:rsidP="006A4EE1">
      <w:pPr>
        <w:spacing w:after="0" w:line="240" w:lineRule="auto"/>
        <w:ind w:left="360" w:right="-20"/>
        <w:rPr>
          <w:rFonts w:ascii="Calibri" w:eastAsia="Calibri" w:hAnsi="Calibri" w:cs="Calibri"/>
          <w:b/>
        </w:rPr>
      </w:pPr>
      <w:r w:rsidRPr="00972A57">
        <w:rPr>
          <w:rFonts w:ascii="Calibri" w:eastAsia="Calibri" w:hAnsi="Calibri" w:cs="Calibri"/>
          <w:b/>
        </w:rPr>
        <w:t xml:space="preserve">University of Michigan </w:t>
      </w:r>
      <w:r w:rsidR="00553550" w:rsidRPr="00972A57">
        <w:rPr>
          <w:rFonts w:ascii="Calibri" w:eastAsia="Calibri" w:hAnsi="Calibri" w:cs="Calibri"/>
          <w:b/>
        </w:rPr>
        <w:t>Office of Human Research Participant Protection</w:t>
      </w:r>
      <w:r w:rsidR="003E3D85" w:rsidRPr="00972A57">
        <w:rPr>
          <w:rFonts w:ascii="Calibri" w:eastAsia="Calibri" w:hAnsi="Calibri" w:cs="Calibri"/>
          <w:b/>
        </w:rPr>
        <w:t xml:space="preserve"> (HRPP)</w:t>
      </w:r>
    </w:p>
    <w:p w14:paraId="7DA87B17" w14:textId="77777777" w:rsidR="004D00A8" w:rsidRDefault="004D00A8" w:rsidP="006A4EE1">
      <w:pPr>
        <w:spacing w:after="0" w:line="240" w:lineRule="auto"/>
        <w:ind w:left="360" w:right="-20"/>
        <w:rPr>
          <w:rFonts w:ascii="Calibri" w:eastAsia="Calibri" w:hAnsi="Calibri" w:cs="Calibri"/>
        </w:rPr>
      </w:pPr>
    </w:p>
    <w:p w14:paraId="43870C94" w14:textId="77777777" w:rsidR="00553550" w:rsidRPr="00553550" w:rsidRDefault="00553550" w:rsidP="006A4EE1">
      <w:pPr>
        <w:spacing w:after="0" w:line="240" w:lineRule="auto"/>
        <w:ind w:left="360" w:right="-20"/>
        <w:rPr>
          <w:rFonts w:cs="Arial"/>
          <w:i/>
          <w:lang w:val="en"/>
        </w:rPr>
      </w:pPr>
      <w:r w:rsidRPr="00553550">
        <w:rPr>
          <w:rFonts w:cs="Arial"/>
          <w:i/>
          <w:lang w:val="en"/>
        </w:rPr>
        <w:t xml:space="preserve">The HRPP promotes an organizational culture that encourages a commitment to compliance with the legal, regulatory, and ethical principles that govern human subjects research. The program relies on a system of self-regulation and integrated oversight to accomplish this objective and reflects an emphasis on the high ethical standards and values demanded of the most outstanding research institutions. </w:t>
      </w:r>
    </w:p>
    <w:p w14:paraId="2EFA60E9" w14:textId="77777777" w:rsidR="00553550" w:rsidRPr="00553550" w:rsidRDefault="00553550" w:rsidP="006A4EE1">
      <w:pPr>
        <w:spacing w:after="0" w:line="240" w:lineRule="auto"/>
        <w:ind w:left="360" w:right="-20"/>
        <w:rPr>
          <w:rFonts w:cs="Arial"/>
          <w:i/>
          <w:lang w:val="en"/>
        </w:rPr>
      </w:pPr>
    </w:p>
    <w:p w14:paraId="566487A3" w14:textId="5B370526" w:rsidR="004D00A8" w:rsidRPr="00553550" w:rsidRDefault="004D00A8" w:rsidP="006A4EE1">
      <w:pPr>
        <w:spacing w:after="0" w:line="240" w:lineRule="auto"/>
        <w:ind w:left="360" w:right="-20"/>
        <w:rPr>
          <w:i/>
        </w:rPr>
      </w:pPr>
      <w:r w:rsidRPr="00553550">
        <w:rPr>
          <w:rFonts w:cs="Arial"/>
          <w:i/>
          <w:lang w:val="en"/>
        </w:rPr>
        <w:t xml:space="preserve">Generally, allegations of potential noncompliance related to specific research projects are first reviewed by the responsible IRB. IRBs may take interim actions </w:t>
      </w:r>
      <w:r w:rsidR="004E4BC6">
        <w:rPr>
          <w:rFonts w:cs="Arial"/>
          <w:i/>
          <w:lang w:val="en"/>
        </w:rPr>
        <w:t>as noted in their SOPs</w:t>
      </w:r>
      <w:r w:rsidRPr="00553550">
        <w:rPr>
          <w:rFonts w:cs="Arial"/>
          <w:i/>
          <w:lang w:val="en"/>
        </w:rPr>
        <w:t xml:space="preserve"> - including suspension of research - to protect human subjects while a concern is under review. </w:t>
      </w:r>
    </w:p>
    <w:p w14:paraId="44E7FE54" w14:textId="77777777" w:rsidR="00384C41" w:rsidRDefault="00384C41" w:rsidP="00C237BD">
      <w:pPr>
        <w:widowControl w:val="0"/>
        <w:autoSpaceDE w:val="0"/>
        <w:autoSpaceDN w:val="0"/>
        <w:adjustRightInd w:val="0"/>
        <w:spacing w:after="0" w:line="239" w:lineRule="auto"/>
        <w:ind w:left="360" w:right="720"/>
        <w:rPr>
          <w:rFonts w:cstheme="minorHAnsi"/>
          <w:color w:val="000000"/>
        </w:rPr>
      </w:pPr>
    </w:p>
    <w:p w14:paraId="1314B3F6" w14:textId="77777777" w:rsidR="006A4EE1" w:rsidRDefault="006A4EE1" w:rsidP="006A4EE1">
      <w:pPr>
        <w:widowControl w:val="0"/>
        <w:autoSpaceDE w:val="0"/>
        <w:autoSpaceDN w:val="0"/>
        <w:adjustRightInd w:val="0"/>
        <w:spacing w:after="0" w:line="239" w:lineRule="auto"/>
        <w:ind w:left="360" w:right="720"/>
        <w:rPr>
          <w:rFonts w:cs="Calibri"/>
          <w:b/>
        </w:rPr>
      </w:pPr>
      <w:r w:rsidRPr="003071F8">
        <w:rPr>
          <w:rFonts w:cs="Calibri"/>
          <w:b/>
        </w:rPr>
        <w:t>Additional Regulations or Policies</w:t>
      </w:r>
      <w:r w:rsidRPr="003071F8">
        <w:rPr>
          <w:rFonts w:cs="Calibri"/>
          <w:b/>
        </w:rPr>
        <w:tab/>
      </w:r>
      <w:r w:rsidRPr="003071F8">
        <w:rPr>
          <w:rFonts w:cs="Calibri"/>
          <w:b/>
        </w:rPr>
        <w:tab/>
        <w:t xml:space="preserve"> </w:t>
      </w:r>
      <w:sdt>
        <w:sdtPr>
          <w:rPr>
            <w:rFonts w:cs="Calibri"/>
            <w:b/>
          </w:rPr>
          <w:id w:val="1710683029"/>
          <w14:checkbox>
            <w14:checked w14:val="0"/>
            <w14:checkedState w14:val="2612" w14:font="MS Gothic"/>
            <w14:uncheckedState w14:val="2610" w14:font="MS Gothic"/>
          </w14:checkbox>
        </w:sdtPr>
        <w:sdtEndPr/>
        <w:sdtContent>
          <w:r w:rsidRPr="003071F8">
            <w:rPr>
              <w:rFonts w:ascii="MS Gothic" w:eastAsia="MS Gothic" w:hAnsi="MS Gothic" w:cs="Calibri" w:hint="eastAsia"/>
              <w:b/>
            </w:rPr>
            <w:t>☐</w:t>
          </w:r>
        </w:sdtContent>
      </w:sdt>
      <w:r w:rsidRPr="003071F8">
        <w:rPr>
          <w:rFonts w:cs="Calibri"/>
          <w:b/>
        </w:rPr>
        <w:t xml:space="preserve"> N/A</w:t>
      </w:r>
    </w:p>
    <w:p w14:paraId="1C4896DF" w14:textId="77777777" w:rsidR="00E54A87" w:rsidRDefault="00E54A87" w:rsidP="00E54A87">
      <w:pPr>
        <w:widowControl w:val="0"/>
        <w:autoSpaceDE w:val="0"/>
        <w:autoSpaceDN w:val="0"/>
        <w:adjustRightInd w:val="0"/>
        <w:spacing w:after="0" w:line="239" w:lineRule="auto"/>
        <w:ind w:left="360" w:right="720"/>
        <w:rPr>
          <w:rFonts w:cs="Calibri"/>
          <w:b/>
        </w:rPr>
      </w:pPr>
      <w:r w:rsidRPr="00B9043B">
        <w:rPr>
          <w:rFonts w:cs="Calibri"/>
          <w:b/>
        </w:rPr>
        <w:t>(MANDATORY LANGUAGE)</w:t>
      </w:r>
    </w:p>
    <w:p w14:paraId="27D0ACD3" w14:textId="77777777" w:rsidR="006A4EE1" w:rsidRPr="00037618" w:rsidRDefault="006A4EE1" w:rsidP="006A4EE1">
      <w:pPr>
        <w:widowControl w:val="0"/>
        <w:autoSpaceDE w:val="0"/>
        <w:autoSpaceDN w:val="0"/>
        <w:adjustRightInd w:val="0"/>
        <w:spacing w:after="0" w:line="239" w:lineRule="auto"/>
        <w:ind w:left="360" w:right="720"/>
        <w:rPr>
          <w:rFonts w:cs="Calibri"/>
        </w:rPr>
      </w:pPr>
    </w:p>
    <w:p w14:paraId="0B82DCE4" w14:textId="397C73DF" w:rsidR="00F14432" w:rsidRDefault="00C237BD" w:rsidP="00D76F19">
      <w:pPr>
        <w:widowControl w:val="0"/>
        <w:autoSpaceDE w:val="0"/>
        <w:autoSpaceDN w:val="0"/>
        <w:adjustRightInd w:val="0"/>
        <w:spacing w:after="0" w:line="240" w:lineRule="auto"/>
        <w:ind w:left="360" w:right="720"/>
        <w:rPr>
          <w:rFonts w:cs="Calibri"/>
          <w:i/>
          <w:color w:val="00B0F0"/>
        </w:rPr>
      </w:pPr>
      <w:r w:rsidRPr="00F1615E">
        <w:rPr>
          <w:rFonts w:cs="Calibri"/>
          <w:i/>
          <w:color w:val="00B0F0"/>
        </w:rPr>
        <w:t>[Optional:</w:t>
      </w:r>
      <w:r>
        <w:rPr>
          <w:rFonts w:cs="Calibri"/>
          <w:i/>
          <w:color w:val="00B0F0"/>
        </w:rPr>
        <w:t xml:space="preserve"> I</w:t>
      </w:r>
      <w:r w:rsidRPr="00F1615E">
        <w:rPr>
          <w:rFonts w:cs="Calibri"/>
          <w:i/>
          <w:color w:val="00B0F0"/>
        </w:rPr>
        <w:t xml:space="preserve">nsert any additional project, department, sponsor, institution, </w:t>
      </w:r>
      <w:r w:rsidR="002A2DC9" w:rsidRPr="00F1615E">
        <w:rPr>
          <w:rFonts w:cs="Calibri"/>
          <w:i/>
          <w:color w:val="00B0F0"/>
        </w:rPr>
        <w:t>state,</w:t>
      </w:r>
      <w:r w:rsidRPr="00F1615E">
        <w:rPr>
          <w:rFonts w:cs="Calibri"/>
          <w:i/>
          <w:color w:val="00B0F0"/>
        </w:rPr>
        <w:t xml:space="preserve"> or federal policies that apply]</w:t>
      </w:r>
    </w:p>
    <w:p w14:paraId="3660E02F" w14:textId="77777777" w:rsidR="001956F1" w:rsidRDefault="001956F1" w:rsidP="00D76F19">
      <w:pPr>
        <w:widowControl w:val="0"/>
        <w:autoSpaceDE w:val="0"/>
        <w:autoSpaceDN w:val="0"/>
        <w:adjustRightInd w:val="0"/>
        <w:spacing w:after="0" w:line="240" w:lineRule="auto"/>
        <w:ind w:left="360" w:right="720"/>
        <w:rPr>
          <w:rFonts w:ascii="Calibri" w:eastAsia="Calibri" w:hAnsi="Calibri" w:cs="Calibri"/>
          <w:b/>
          <w:bCs/>
          <w:spacing w:val="-2"/>
        </w:rPr>
      </w:pPr>
    </w:p>
    <w:p w14:paraId="3D853E3F" w14:textId="398B9BDA" w:rsidR="00F14432" w:rsidRDefault="00F14432" w:rsidP="00F14432">
      <w:pPr>
        <w:pStyle w:val="ListParagraph"/>
        <w:numPr>
          <w:ilvl w:val="0"/>
          <w:numId w:val="10"/>
        </w:numPr>
        <w:spacing w:after="0" w:line="240" w:lineRule="auto"/>
        <w:rPr>
          <w:b/>
        </w:rPr>
      </w:pPr>
      <w:r>
        <w:rPr>
          <w:b/>
        </w:rPr>
        <w:t>DEFINITIONS</w:t>
      </w:r>
      <w:r w:rsidR="00D57C2F">
        <w:rPr>
          <w:b/>
        </w:rPr>
        <w:t xml:space="preserve"> </w:t>
      </w:r>
    </w:p>
    <w:p w14:paraId="3BB1C231" w14:textId="77777777" w:rsidR="00F74E2E" w:rsidRPr="002D0719" w:rsidRDefault="00F74E2E" w:rsidP="00F74E2E">
      <w:pPr>
        <w:pStyle w:val="ListParagraph"/>
        <w:spacing w:after="0" w:line="240" w:lineRule="auto"/>
        <w:ind w:left="360"/>
        <w:rPr>
          <w:b/>
        </w:rPr>
      </w:pPr>
    </w:p>
    <w:p w14:paraId="7FBAF559" w14:textId="2B2A0AED" w:rsidR="001A50AE" w:rsidRDefault="00F425C9" w:rsidP="00747A76">
      <w:pPr>
        <w:spacing w:after="0" w:line="240" w:lineRule="auto"/>
        <w:ind w:left="360"/>
        <w:rPr>
          <w:rFonts w:cs="Arial"/>
          <w:lang w:val="en"/>
        </w:rPr>
      </w:pPr>
      <w:r w:rsidRPr="00497B8F">
        <w:rPr>
          <w:rFonts w:cs="Arial"/>
          <w:iCs/>
          <w:lang w:val="en"/>
        </w:rPr>
        <w:t>COMPLIANCE</w:t>
      </w:r>
      <w:r w:rsidR="000D11F6" w:rsidRPr="00497B8F">
        <w:rPr>
          <w:rFonts w:cs="Arial"/>
          <w:iCs/>
          <w:lang w:val="en"/>
        </w:rPr>
        <w:t xml:space="preserve">: In relation to research: Adherence to all relevant trial-related requirements, ICH Good Clinical Practice (ICH GCP) requirements, and the applicable institutional, </w:t>
      </w:r>
      <w:r w:rsidR="002A2DC9" w:rsidRPr="00497B8F">
        <w:rPr>
          <w:rFonts w:cs="Arial"/>
          <w:iCs/>
          <w:lang w:val="en"/>
        </w:rPr>
        <w:t>state,</w:t>
      </w:r>
      <w:r w:rsidR="000D11F6" w:rsidRPr="00497B8F">
        <w:rPr>
          <w:rFonts w:cs="Arial"/>
          <w:iCs/>
          <w:lang w:val="en"/>
        </w:rPr>
        <w:t xml:space="preserve"> and federal regulatory requirements. (IRB </w:t>
      </w:r>
      <w:r w:rsidR="001B4F90" w:rsidRPr="00497B8F">
        <w:rPr>
          <w:rFonts w:cs="Arial"/>
          <w:iCs/>
          <w:lang w:val="en"/>
        </w:rPr>
        <w:t>definition</w:t>
      </w:r>
      <w:r w:rsidR="000D11F6" w:rsidRPr="00497B8F">
        <w:rPr>
          <w:rFonts w:cs="Arial"/>
          <w:iCs/>
          <w:lang w:val="en"/>
        </w:rPr>
        <w:t xml:space="preserve">)  </w:t>
      </w:r>
    </w:p>
    <w:p w14:paraId="1BEB4499" w14:textId="77777777" w:rsidR="00497B8F" w:rsidRDefault="00497B8F" w:rsidP="00747A76">
      <w:pPr>
        <w:spacing w:after="0" w:line="240" w:lineRule="auto"/>
        <w:ind w:left="360"/>
      </w:pPr>
    </w:p>
    <w:p w14:paraId="403B980A" w14:textId="1FBB30DF" w:rsidR="005054D0" w:rsidRPr="007B4E81" w:rsidRDefault="005054D0" w:rsidP="005054D0">
      <w:pPr>
        <w:spacing w:after="0" w:line="240" w:lineRule="auto"/>
        <w:ind w:left="360"/>
        <w:rPr>
          <w:rFonts w:cs="Helvetica"/>
        </w:rPr>
      </w:pPr>
      <w:r w:rsidRPr="004066EF">
        <w:t>CONTINUING NONCOMPLIANCE:</w:t>
      </w:r>
      <w:r w:rsidRPr="004066EF">
        <w:rPr>
          <w:rFonts w:cs="Helvetica"/>
        </w:rPr>
        <w:t xml:space="preserve"> Non-compliance (serious or non-serious) that has been previously reported, or a pattern of ongoing activities that indicate a lack of understanding of human subjects protection requirements that may affect research participants or the validity of the research and suggest the potential for future noncompliance without intervention. Examples of continuing non-compliance may include but are not limited to: repeated failures to provide or review progress </w:t>
      </w:r>
      <w:r w:rsidRPr="004066EF">
        <w:rPr>
          <w:rFonts w:cs="Helvetica"/>
        </w:rPr>
        <w:lastRenderedPageBreak/>
        <w:t>reports resulting in lapses of IRB approval, inadequate oversight of ongoing research, or failure to respond to or resolve previous allegations or findings of noncompliance. (IRB definition)</w:t>
      </w:r>
    </w:p>
    <w:p w14:paraId="0A8D7950" w14:textId="3F7965DF" w:rsidR="00CB68C7" w:rsidRPr="00CB68C7" w:rsidRDefault="00CB68C7" w:rsidP="001B6B13">
      <w:pPr>
        <w:spacing w:after="0" w:line="240" w:lineRule="auto"/>
        <w:rPr>
          <w:rFonts w:eastAsia="Calibri" w:cstheme="minorHAnsi"/>
          <w:spacing w:val="-1"/>
        </w:rPr>
      </w:pPr>
    </w:p>
    <w:p w14:paraId="05E77A28" w14:textId="0C7BB14B" w:rsidR="005F226C" w:rsidRPr="004B5382" w:rsidRDefault="005F226C" w:rsidP="00CB68C7">
      <w:pPr>
        <w:pStyle w:val="CommentText"/>
        <w:ind w:left="360"/>
        <w:rPr>
          <w:rFonts w:cstheme="minorHAnsi"/>
          <w:sz w:val="22"/>
          <w:szCs w:val="22"/>
        </w:rPr>
      </w:pPr>
      <w:r w:rsidRPr="004B5382">
        <w:rPr>
          <w:rFonts w:cstheme="minorHAnsi"/>
          <w:sz w:val="22"/>
          <w:szCs w:val="22"/>
        </w:rPr>
        <w:t xml:space="preserve">INTERNATIONAL COUNCIL ON HARMONISATION (ICH): A joint initiative involving both regulators and research-based industry representatives of the European Union, </w:t>
      </w:r>
      <w:r w:rsidR="002A2DC9" w:rsidRPr="004B5382">
        <w:rPr>
          <w:rFonts w:cstheme="minorHAnsi"/>
          <w:sz w:val="22"/>
          <w:szCs w:val="22"/>
        </w:rPr>
        <w:t>Japan,</w:t>
      </w:r>
      <w:r w:rsidRPr="004B5382">
        <w:rPr>
          <w:rFonts w:cstheme="minorHAnsi"/>
          <w:sz w:val="22"/>
          <w:szCs w:val="22"/>
        </w:rPr>
        <w:t xml:space="preserve"> and the USA in scientific and technical discussions of the testing procedures required to assess and ensure the safety, </w:t>
      </w:r>
      <w:r w:rsidR="002A2DC9" w:rsidRPr="004B5382">
        <w:rPr>
          <w:rFonts w:cstheme="minorHAnsi"/>
          <w:sz w:val="22"/>
          <w:szCs w:val="22"/>
        </w:rPr>
        <w:t>quality,</w:t>
      </w:r>
      <w:r w:rsidRPr="004B5382">
        <w:rPr>
          <w:rFonts w:cstheme="minorHAnsi"/>
          <w:sz w:val="22"/>
          <w:szCs w:val="22"/>
        </w:rPr>
        <w:t xml:space="preserve"> and efficacy of medicines </w:t>
      </w:r>
    </w:p>
    <w:p w14:paraId="678778F2" w14:textId="1E82EF29" w:rsidR="004B5382" w:rsidRDefault="00CB68C7" w:rsidP="004B5382">
      <w:pPr>
        <w:shd w:val="clear" w:color="auto" w:fill="FFFFFF"/>
        <w:tabs>
          <w:tab w:val="left" w:pos="1440"/>
        </w:tabs>
        <w:spacing w:after="0" w:line="240" w:lineRule="auto"/>
        <w:ind w:left="360"/>
        <w:rPr>
          <w:rFonts w:cstheme="minorHAnsi"/>
          <w:shd w:val="clear" w:color="auto" w:fill="FFFFFF"/>
        </w:rPr>
      </w:pPr>
      <w:r w:rsidRPr="004B5382">
        <w:rPr>
          <w:rFonts w:cstheme="minorHAnsi"/>
        </w:rPr>
        <w:t xml:space="preserve">NONCOMPLIANCE: </w:t>
      </w:r>
      <w:r w:rsidR="004B5382" w:rsidRPr="004066EF">
        <w:rPr>
          <w:rFonts w:cstheme="minorHAnsi"/>
          <w:shd w:val="clear" w:color="auto" w:fill="FFFFFF"/>
        </w:rPr>
        <w:t>Non-compliance that has the potential to increase risk to research participants, compromise participants’ rights or welfare, or affect the integrity of the research/data or the human subjects protection program. Examples of serious noncompliance may include, but are not limited to: conducting or continuing non-exempt human subjects research without IRB approval; lack of legally effective informed consent from research participants; failure to report or review serious adverse events, unanticipated problems, or substantive changes in research; or inappropriate oversight of the research to insure the safety of human subjects and the integrity of the research/data. (IRB definition)</w:t>
      </w:r>
    </w:p>
    <w:p w14:paraId="13A75677" w14:textId="77777777" w:rsidR="004B5382" w:rsidRPr="004066EF" w:rsidRDefault="004B5382" w:rsidP="004066EF">
      <w:pPr>
        <w:shd w:val="clear" w:color="auto" w:fill="FFFFFF"/>
        <w:tabs>
          <w:tab w:val="left" w:pos="1440"/>
        </w:tabs>
        <w:spacing w:after="0" w:line="240" w:lineRule="auto"/>
        <w:ind w:left="360"/>
        <w:rPr>
          <w:rFonts w:eastAsia="Times New Roman" w:cstheme="minorHAnsi"/>
          <w:lang w:val="en"/>
        </w:rPr>
      </w:pPr>
    </w:p>
    <w:p w14:paraId="50B03FEB" w14:textId="784673F6" w:rsidR="00620E11" w:rsidRPr="00620E11" w:rsidRDefault="00620E11" w:rsidP="00620E11">
      <w:pPr>
        <w:spacing w:after="0" w:line="240" w:lineRule="auto"/>
        <w:ind w:left="360"/>
        <w:rPr>
          <w:rFonts w:cstheme="minorHAnsi"/>
        </w:rPr>
      </w:pPr>
      <w:r w:rsidRPr="004066EF">
        <w:rPr>
          <w:rStyle w:val="Strong"/>
          <w:rFonts w:cstheme="minorHAnsi"/>
          <w:b w:val="0"/>
          <w:bCs w:val="0"/>
          <w:shd w:val="clear" w:color="auto" w:fill="FFFFFF"/>
        </w:rPr>
        <w:t>O</w:t>
      </w:r>
      <w:r>
        <w:rPr>
          <w:rStyle w:val="Strong"/>
          <w:rFonts w:cstheme="minorHAnsi"/>
          <w:b w:val="0"/>
          <w:bCs w:val="0"/>
          <w:shd w:val="clear" w:color="auto" w:fill="FFFFFF"/>
        </w:rPr>
        <w:t>FFICE OF RESEARCH COMPLIANCE REVIEW</w:t>
      </w:r>
      <w:r w:rsidRPr="004066EF">
        <w:rPr>
          <w:rStyle w:val="Strong"/>
          <w:rFonts w:cstheme="minorHAnsi"/>
          <w:b w:val="0"/>
          <w:bCs w:val="0"/>
          <w:shd w:val="clear" w:color="auto" w:fill="FFFFFF"/>
        </w:rPr>
        <w:t xml:space="preserve"> </w:t>
      </w:r>
      <w:r w:rsidRPr="004066EF">
        <w:rPr>
          <w:rFonts w:cstheme="minorHAnsi"/>
          <w:shd w:val="clear" w:color="auto" w:fill="FFFFFF"/>
        </w:rPr>
        <w:t>(ORCR)</w:t>
      </w:r>
      <w:r>
        <w:rPr>
          <w:rFonts w:cstheme="minorHAnsi"/>
          <w:shd w:val="clear" w:color="auto" w:fill="FFFFFF"/>
        </w:rPr>
        <w:t xml:space="preserve">: </w:t>
      </w:r>
      <w:r w:rsidRPr="004066EF">
        <w:rPr>
          <w:rFonts w:cstheme="minorHAnsi"/>
          <w:shd w:val="clear" w:color="auto" w:fill="FFFFFF"/>
        </w:rPr>
        <w:t>provides objective analysis and evaluation of non-financial research activity compliance for investigator-led research studies, with emphasis on human subjects studies, units of U-M's </w:t>
      </w:r>
      <w:hyperlink r:id="rId11" w:tgtFrame="_blank" w:history="1">
        <w:r w:rsidRPr="004066EF">
          <w:rPr>
            <w:rStyle w:val="Hyperlink"/>
            <w:rFonts w:cstheme="minorHAnsi"/>
            <w:color w:val="auto"/>
            <w:shd w:val="clear" w:color="auto" w:fill="FFFFFF"/>
          </w:rPr>
          <w:t>Human Research Protection Program (HRPP)</w:t>
        </w:r>
      </w:hyperlink>
      <w:r w:rsidRPr="004066EF">
        <w:rPr>
          <w:rFonts w:cstheme="minorHAnsi"/>
          <w:shd w:val="clear" w:color="auto" w:fill="FFFFFF"/>
        </w:rPr>
        <w:t> and of the HRPP as a whole.</w:t>
      </w:r>
    </w:p>
    <w:p w14:paraId="3E1625F7" w14:textId="77777777" w:rsidR="00004DF2" w:rsidRPr="00620E11" w:rsidRDefault="00ED4FE1" w:rsidP="00004DF2">
      <w:pPr>
        <w:spacing w:after="0" w:line="240" w:lineRule="auto"/>
        <w:ind w:left="360"/>
        <w:rPr>
          <w:rFonts w:cstheme="minorHAnsi"/>
        </w:rPr>
      </w:pPr>
      <w:r w:rsidRPr="00620E11">
        <w:rPr>
          <w:rFonts w:cs="Arial"/>
        </w:rPr>
        <w:t>(</w:t>
      </w:r>
      <w:r w:rsidRPr="00620E11">
        <w:rPr>
          <w:rFonts w:cs="Arial"/>
          <w:b/>
        </w:rPr>
        <w:t>MANDATORY LANGUAGE</w:t>
      </w:r>
      <w:r w:rsidRPr="00620E11">
        <w:rPr>
          <w:rFonts w:cs="Arial"/>
        </w:rPr>
        <w:t>)</w:t>
      </w:r>
    </w:p>
    <w:p w14:paraId="1471E35B" w14:textId="77777777" w:rsidR="00004DF2" w:rsidRDefault="00004DF2" w:rsidP="00004DF2">
      <w:pPr>
        <w:spacing w:after="0" w:line="240" w:lineRule="auto"/>
        <w:ind w:left="360"/>
        <w:rPr>
          <w:rFonts w:cs="Arial"/>
        </w:rPr>
      </w:pPr>
    </w:p>
    <w:p w14:paraId="4063DCA5" w14:textId="7420F866" w:rsidR="00004DF2" w:rsidRDefault="00004DF2" w:rsidP="00004DF2">
      <w:pPr>
        <w:spacing w:after="0" w:line="240" w:lineRule="auto"/>
        <w:ind w:left="360"/>
        <w:rPr>
          <w:rFonts w:ascii="Calibri" w:eastAsia="Calibri" w:hAnsi="Calibri" w:cs="Calibri"/>
          <w:i/>
          <w:color w:val="00B0F0"/>
        </w:rPr>
      </w:pPr>
      <w:r w:rsidRPr="00F1615E">
        <w:rPr>
          <w:rFonts w:cs="Calibri"/>
          <w:i/>
          <w:color w:val="00B0F0"/>
        </w:rPr>
        <w:t xml:space="preserve">[Optional: </w:t>
      </w:r>
      <w:r>
        <w:rPr>
          <w:rFonts w:ascii="Calibri" w:eastAsia="Calibri" w:hAnsi="Calibri" w:cs="Calibri"/>
          <w:i/>
          <w:color w:val="00B0F0"/>
          <w:spacing w:val="-1"/>
        </w:rPr>
        <w:t>Insert</w:t>
      </w:r>
      <w:r w:rsidRPr="00F1615E">
        <w:rPr>
          <w:rFonts w:ascii="Calibri" w:eastAsia="Calibri" w:hAnsi="Calibri" w:cs="Calibri"/>
          <w:i/>
          <w:color w:val="00B0F0"/>
          <w:spacing w:val="-1"/>
        </w:rPr>
        <w:t xml:space="preserve"> an</w:t>
      </w:r>
      <w:r w:rsidRPr="00F1615E">
        <w:rPr>
          <w:rFonts w:ascii="Calibri" w:eastAsia="Calibri" w:hAnsi="Calibri" w:cs="Calibri"/>
          <w:i/>
          <w:color w:val="00B0F0"/>
        </w:rPr>
        <w:t>y</w:t>
      </w:r>
      <w:r w:rsidRPr="00F1615E">
        <w:rPr>
          <w:rFonts w:ascii="Calibri" w:eastAsia="Calibri" w:hAnsi="Calibri" w:cs="Calibri"/>
          <w:i/>
          <w:color w:val="00B0F0"/>
          <w:spacing w:val="-2"/>
        </w:rPr>
        <w:t xml:space="preserve"> additional</w:t>
      </w:r>
      <w:r>
        <w:rPr>
          <w:rFonts w:ascii="Calibri" w:eastAsia="Calibri" w:hAnsi="Calibri" w:cs="Calibri"/>
          <w:i/>
          <w:color w:val="00B0F0"/>
          <w:spacing w:val="-2"/>
        </w:rPr>
        <w:t xml:space="preserve"> definitions for</w:t>
      </w:r>
      <w:r w:rsidRPr="00F1615E">
        <w:rPr>
          <w:rFonts w:ascii="Calibri" w:eastAsia="Calibri" w:hAnsi="Calibri" w:cs="Calibri"/>
          <w:i/>
          <w:color w:val="00B0F0"/>
          <w:spacing w:val="-2"/>
        </w:rPr>
        <w:t xml:space="preserve"> </w:t>
      </w:r>
      <w:r w:rsidRPr="00F1615E">
        <w:rPr>
          <w:rFonts w:ascii="Calibri" w:eastAsia="Calibri" w:hAnsi="Calibri" w:cs="Calibri"/>
          <w:i/>
          <w:color w:val="00B0F0"/>
        </w:rPr>
        <w:t>te</w:t>
      </w:r>
      <w:r w:rsidRPr="00F1615E">
        <w:rPr>
          <w:rFonts w:ascii="Calibri" w:eastAsia="Calibri" w:hAnsi="Calibri" w:cs="Calibri"/>
          <w:i/>
          <w:color w:val="00B0F0"/>
          <w:spacing w:val="-1"/>
        </w:rPr>
        <w:t>chn</w:t>
      </w:r>
      <w:r w:rsidRPr="00F1615E">
        <w:rPr>
          <w:rFonts w:ascii="Calibri" w:eastAsia="Calibri" w:hAnsi="Calibri" w:cs="Calibri"/>
          <w:i/>
          <w:color w:val="00B0F0"/>
        </w:rPr>
        <w:t>i</w:t>
      </w:r>
      <w:r w:rsidRPr="00F1615E">
        <w:rPr>
          <w:rFonts w:ascii="Calibri" w:eastAsia="Calibri" w:hAnsi="Calibri" w:cs="Calibri"/>
          <w:i/>
          <w:color w:val="00B0F0"/>
          <w:spacing w:val="-1"/>
        </w:rPr>
        <w:t>ca</w:t>
      </w:r>
      <w:r w:rsidRPr="00F1615E">
        <w:rPr>
          <w:rFonts w:ascii="Calibri" w:eastAsia="Calibri" w:hAnsi="Calibri" w:cs="Calibri"/>
          <w:i/>
          <w:color w:val="00B0F0"/>
        </w:rPr>
        <w:t>l</w:t>
      </w:r>
      <w:r w:rsidRPr="00F1615E">
        <w:rPr>
          <w:rFonts w:ascii="Calibri" w:eastAsia="Calibri" w:hAnsi="Calibri" w:cs="Calibri"/>
          <w:i/>
          <w:color w:val="00B0F0"/>
          <w:spacing w:val="-7"/>
        </w:rPr>
        <w:t xml:space="preserve"> </w:t>
      </w:r>
      <w:r w:rsidRPr="00F1615E">
        <w:rPr>
          <w:rFonts w:ascii="Calibri" w:eastAsia="Calibri" w:hAnsi="Calibri" w:cs="Calibri"/>
          <w:i/>
          <w:color w:val="00B0F0"/>
        </w:rPr>
        <w:t>or</w:t>
      </w:r>
      <w:r w:rsidRPr="00F1615E">
        <w:rPr>
          <w:rFonts w:ascii="Calibri" w:eastAsia="Calibri" w:hAnsi="Calibri" w:cs="Calibri"/>
          <w:i/>
          <w:color w:val="00B0F0"/>
          <w:spacing w:val="-1"/>
        </w:rPr>
        <w:t xml:space="preserve"> </w:t>
      </w:r>
      <w:proofErr w:type="gramStart"/>
      <w:r w:rsidRPr="00F1615E">
        <w:rPr>
          <w:rFonts w:ascii="Calibri" w:eastAsia="Calibri" w:hAnsi="Calibri" w:cs="Calibri"/>
          <w:i/>
          <w:color w:val="00B0F0"/>
        </w:rPr>
        <w:t>s</w:t>
      </w:r>
      <w:r w:rsidRPr="00F1615E">
        <w:rPr>
          <w:rFonts w:ascii="Calibri" w:eastAsia="Calibri" w:hAnsi="Calibri" w:cs="Calibri"/>
          <w:i/>
          <w:color w:val="00B0F0"/>
          <w:spacing w:val="-1"/>
        </w:rPr>
        <w:t>p</w:t>
      </w:r>
      <w:r w:rsidRPr="00F1615E">
        <w:rPr>
          <w:rFonts w:ascii="Calibri" w:eastAsia="Calibri" w:hAnsi="Calibri" w:cs="Calibri"/>
          <w:i/>
          <w:color w:val="00B0F0"/>
        </w:rPr>
        <w:t>e</w:t>
      </w:r>
      <w:r w:rsidRPr="00F1615E">
        <w:rPr>
          <w:rFonts w:ascii="Calibri" w:eastAsia="Calibri" w:hAnsi="Calibri" w:cs="Calibri"/>
          <w:i/>
          <w:color w:val="00B0F0"/>
          <w:spacing w:val="-1"/>
        </w:rPr>
        <w:t>c</w:t>
      </w:r>
      <w:r w:rsidRPr="00F1615E">
        <w:rPr>
          <w:rFonts w:ascii="Calibri" w:eastAsia="Calibri" w:hAnsi="Calibri" w:cs="Calibri"/>
          <w:i/>
          <w:color w:val="00B0F0"/>
        </w:rPr>
        <w:t>i</w:t>
      </w:r>
      <w:r w:rsidRPr="00F1615E">
        <w:rPr>
          <w:rFonts w:ascii="Calibri" w:eastAsia="Calibri" w:hAnsi="Calibri" w:cs="Calibri"/>
          <w:i/>
          <w:color w:val="00B0F0"/>
          <w:spacing w:val="-1"/>
        </w:rPr>
        <w:t>a</w:t>
      </w:r>
      <w:r w:rsidRPr="00F1615E">
        <w:rPr>
          <w:rFonts w:ascii="Calibri" w:eastAsia="Calibri" w:hAnsi="Calibri" w:cs="Calibri"/>
          <w:i/>
          <w:color w:val="00B0F0"/>
        </w:rPr>
        <w:t>l</w:t>
      </w:r>
      <w:r w:rsidRPr="00F1615E">
        <w:rPr>
          <w:rFonts w:ascii="Calibri" w:eastAsia="Calibri" w:hAnsi="Calibri" w:cs="Calibri"/>
          <w:i/>
          <w:color w:val="00B0F0"/>
          <w:spacing w:val="-4"/>
        </w:rPr>
        <w:t xml:space="preserve"> </w:t>
      </w:r>
      <w:r>
        <w:rPr>
          <w:rFonts w:ascii="Calibri" w:eastAsia="Calibri" w:hAnsi="Calibri" w:cs="Calibri"/>
          <w:i/>
          <w:color w:val="00B0F0"/>
        </w:rPr>
        <w:t>terms</w:t>
      </w:r>
      <w:proofErr w:type="gramEnd"/>
      <w:r w:rsidRPr="00F1615E">
        <w:rPr>
          <w:rFonts w:ascii="Calibri" w:eastAsia="Calibri" w:hAnsi="Calibri" w:cs="Calibri"/>
          <w:i/>
          <w:color w:val="00B0F0"/>
          <w:spacing w:val="-4"/>
        </w:rPr>
        <w:t xml:space="preserve"> </w:t>
      </w:r>
      <w:r w:rsidRPr="00F1615E">
        <w:rPr>
          <w:rFonts w:ascii="Calibri" w:eastAsia="Calibri" w:hAnsi="Calibri" w:cs="Calibri"/>
          <w:i/>
          <w:color w:val="00B0F0"/>
          <w:spacing w:val="-1"/>
        </w:rPr>
        <w:t>u</w:t>
      </w:r>
      <w:r w:rsidRPr="00F1615E">
        <w:rPr>
          <w:rFonts w:ascii="Calibri" w:eastAsia="Calibri" w:hAnsi="Calibri" w:cs="Calibri"/>
          <w:i/>
          <w:color w:val="00B0F0"/>
        </w:rPr>
        <w:t>sed</w:t>
      </w:r>
      <w:r w:rsidRPr="00F1615E">
        <w:rPr>
          <w:rFonts w:ascii="Calibri" w:eastAsia="Calibri" w:hAnsi="Calibri" w:cs="Calibri"/>
          <w:i/>
          <w:color w:val="00B0F0"/>
          <w:spacing w:val="-5"/>
        </w:rPr>
        <w:t xml:space="preserve"> </w:t>
      </w:r>
      <w:r w:rsidRPr="00F1615E">
        <w:rPr>
          <w:rFonts w:ascii="Calibri" w:eastAsia="Calibri" w:hAnsi="Calibri" w:cs="Calibri"/>
          <w:i/>
          <w:color w:val="00B0F0"/>
        </w:rPr>
        <w:t>wi</w:t>
      </w:r>
      <w:r w:rsidRPr="00F1615E">
        <w:rPr>
          <w:rFonts w:ascii="Calibri" w:eastAsia="Calibri" w:hAnsi="Calibri" w:cs="Calibri"/>
          <w:i/>
          <w:color w:val="00B0F0"/>
          <w:spacing w:val="-2"/>
        </w:rPr>
        <w:t>t</w:t>
      </w:r>
      <w:r w:rsidRPr="00F1615E">
        <w:rPr>
          <w:rFonts w:ascii="Calibri" w:eastAsia="Calibri" w:hAnsi="Calibri" w:cs="Calibri"/>
          <w:i/>
          <w:color w:val="00B0F0"/>
          <w:spacing w:val="-1"/>
        </w:rPr>
        <w:t>h</w:t>
      </w:r>
      <w:r w:rsidRPr="00F1615E">
        <w:rPr>
          <w:rFonts w:ascii="Calibri" w:eastAsia="Calibri" w:hAnsi="Calibri" w:cs="Calibri"/>
          <w:i/>
          <w:color w:val="00B0F0"/>
        </w:rPr>
        <w:t>in</w:t>
      </w:r>
      <w:r w:rsidRPr="00F1615E">
        <w:rPr>
          <w:rFonts w:ascii="Calibri" w:eastAsia="Calibri" w:hAnsi="Calibri" w:cs="Calibri"/>
          <w:i/>
          <w:color w:val="00B0F0"/>
          <w:spacing w:val="-5"/>
        </w:rPr>
        <w:t xml:space="preserve"> </w:t>
      </w:r>
      <w:r>
        <w:rPr>
          <w:rFonts w:ascii="Calibri" w:eastAsia="Calibri" w:hAnsi="Calibri" w:cs="Calibri"/>
          <w:i/>
          <w:color w:val="00B0F0"/>
          <w:spacing w:val="-3"/>
        </w:rPr>
        <w:t xml:space="preserve">the </w:t>
      </w:r>
      <w:r w:rsidR="005362E2">
        <w:rPr>
          <w:rFonts w:ascii="Calibri" w:eastAsia="Calibri" w:hAnsi="Calibri" w:cs="Calibri"/>
          <w:i/>
          <w:color w:val="00B0F0"/>
          <w:spacing w:val="-3"/>
        </w:rPr>
        <w:t>Standard Practice Guideline</w:t>
      </w:r>
      <w:r w:rsidRPr="00F1615E">
        <w:rPr>
          <w:rFonts w:ascii="Calibri" w:eastAsia="Calibri" w:hAnsi="Calibri" w:cs="Calibri"/>
          <w:i/>
          <w:color w:val="00B0F0"/>
          <w:spacing w:val="-3"/>
        </w:rPr>
        <w:t xml:space="preserve"> </w:t>
      </w:r>
      <w:r w:rsidRPr="00F1615E">
        <w:rPr>
          <w:rFonts w:ascii="Calibri" w:eastAsia="Calibri" w:hAnsi="Calibri" w:cs="Calibri"/>
          <w:i/>
          <w:color w:val="00B0F0"/>
        </w:rPr>
        <w:t>t</w:t>
      </w:r>
      <w:r w:rsidRPr="00F1615E">
        <w:rPr>
          <w:rFonts w:ascii="Calibri" w:eastAsia="Calibri" w:hAnsi="Calibri" w:cs="Calibri"/>
          <w:i/>
          <w:color w:val="00B0F0"/>
          <w:spacing w:val="-1"/>
        </w:rPr>
        <w:t>ha</w:t>
      </w:r>
      <w:r w:rsidRPr="00F1615E">
        <w:rPr>
          <w:rFonts w:ascii="Calibri" w:eastAsia="Calibri" w:hAnsi="Calibri" w:cs="Calibri"/>
          <w:i/>
          <w:color w:val="00B0F0"/>
        </w:rPr>
        <w:t>t</w:t>
      </w:r>
      <w:r w:rsidRPr="00F1615E">
        <w:rPr>
          <w:rFonts w:ascii="Calibri" w:eastAsia="Calibri" w:hAnsi="Calibri" w:cs="Calibri"/>
          <w:i/>
          <w:color w:val="00B0F0"/>
          <w:spacing w:val="-4"/>
        </w:rPr>
        <w:t xml:space="preserve"> </w:t>
      </w:r>
      <w:r w:rsidRPr="00F1615E">
        <w:rPr>
          <w:rFonts w:ascii="Calibri" w:eastAsia="Calibri" w:hAnsi="Calibri" w:cs="Calibri"/>
          <w:i/>
          <w:color w:val="00B0F0"/>
        </w:rPr>
        <w:t>m</w:t>
      </w:r>
      <w:r w:rsidRPr="00F1615E">
        <w:rPr>
          <w:rFonts w:ascii="Calibri" w:eastAsia="Calibri" w:hAnsi="Calibri" w:cs="Calibri"/>
          <w:i/>
          <w:color w:val="00B0F0"/>
          <w:spacing w:val="-3"/>
        </w:rPr>
        <w:t>a</w:t>
      </w:r>
      <w:r w:rsidRPr="00F1615E">
        <w:rPr>
          <w:rFonts w:ascii="Calibri" w:eastAsia="Calibri" w:hAnsi="Calibri" w:cs="Calibri"/>
          <w:i/>
          <w:color w:val="00B0F0"/>
        </w:rPr>
        <w:t>y</w:t>
      </w:r>
      <w:r w:rsidRPr="00F1615E">
        <w:rPr>
          <w:rFonts w:ascii="Calibri" w:eastAsia="Calibri" w:hAnsi="Calibri" w:cs="Calibri"/>
          <w:i/>
          <w:color w:val="00B0F0"/>
          <w:spacing w:val="-4"/>
        </w:rPr>
        <w:t xml:space="preserve"> </w:t>
      </w:r>
      <w:r w:rsidRPr="00F1615E">
        <w:rPr>
          <w:rFonts w:ascii="Calibri" w:eastAsia="Calibri" w:hAnsi="Calibri" w:cs="Calibri"/>
          <w:i/>
          <w:color w:val="00B0F0"/>
          <w:spacing w:val="-1"/>
        </w:rPr>
        <w:t>no</w:t>
      </w:r>
      <w:r w:rsidRPr="00F1615E">
        <w:rPr>
          <w:rFonts w:ascii="Calibri" w:eastAsia="Calibri" w:hAnsi="Calibri" w:cs="Calibri"/>
          <w:i/>
          <w:color w:val="00B0F0"/>
        </w:rPr>
        <w:t>t</w:t>
      </w:r>
      <w:r w:rsidRPr="00F1615E">
        <w:rPr>
          <w:rFonts w:ascii="Calibri" w:eastAsia="Calibri" w:hAnsi="Calibri" w:cs="Calibri"/>
          <w:i/>
          <w:color w:val="00B0F0"/>
          <w:spacing w:val="-1"/>
        </w:rPr>
        <w:t xml:space="preserve"> be </w:t>
      </w:r>
      <w:r w:rsidRPr="00F1615E">
        <w:rPr>
          <w:rFonts w:ascii="Calibri" w:eastAsia="Calibri" w:hAnsi="Calibri" w:cs="Calibri"/>
          <w:i/>
          <w:color w:val="00B0F0"/>
        </w:rPr>
        <w:t>f</w:t>
      </w:r>
      <w:r w:rsidRPr="00F1615E">
        <w:rPr>
          <w:rFonts w:ascii="Calibri" w:eastAsia="Calibri" w:hAnsi="Calibri" w:cs="Calibri"/>
          <w:i/>
          <w:color w:val="00B0F0"/>
          <w:spacing w:val="-1"/>
        </w:rPr>
        <w:t>a</w:t>
      </w:r>
      <w:r w:rsidRPr="00F1615E">
        <w:rPr>
          <w:rFonts w:ascii="Calibri" w:eastAsia="Calibri" w:hAnsi="Calibri" w:cs="Calibri"/>
          <w:i/>
          <w:color w:val="00B0F0"/>
        </w:rPr>
        <w:t>mili</w:t>
      </w:r>
      <w:r w:rsidRPr="00F1615E">
        <w:rPr>
          <w:rFonts w:ascii="Calibri" w:eastAsia="Calibri" w:hAnsi="Calibri" w:cs="Calibri"/>
          <w:i/>
          <w:color w:val="00B0F0"/>
          <w:spacing w:val="-1"/>
        </w:rPr>
        <w:t>a</w:t>
      </w:r>
      <w:r w:rsidRPr="00F1615E">
        <w:rPr>
          <w:rFonts w:ascii="Calibri" w:eastAsia="Calibri" w:hAnsi="Calibri" w:cs="Calibri"/>
          <w:i/>
          <w:color w:val="00B0F0"/>
        </w:rPr>
        <w:t>r</w:t>
      </w:r>
      <w:r w:rsidRPr="00F1615E">
        <w:rPr>
          <w:rFonts w:ascii="Calibri" w:eastAsia="Calibri" w:hAnsi="Calibri" w:cs="Calibri"/>
          <w:i/>
          <w:color w:val="00B0F0"/>
          <w:spacing w:val="-5"/>
        </w:rPr>
        <w:t xml:space="preserve"> </w:t>
      </w:r>
      <w:r w:rsidRPr="00F1615E">
        <w:rPr>
          <w:rFonts w:ascii="Calibri" w:eastAsia="Calibri" w:hAnsi="Calibri" w:cs="Calibri"/>
          <w:i/>
          <w:color w:val="00B0F0"/>
        </w:rPr>
        <w:t>to</w:t>
      </w:r>
      <w:r w:rsidRPr="00F1615E">
        <w:rPr>
          <w:rFonts w:ascii="Calibri" w:eastAsia="Calibri" w:hAnsi="Calibri" w:cs="Calibri"/>
          <w:i/>
          <w:color w:val="00B0F0"/>
          <w:spacing w:val="-2"/>
        </w:rPr>
        <w:t xml:space="preserve"> </w:t>
      </w:r>
      <w:r w:rsidRPr="00F1615E">
        <w:rPr>
          <w:rFonts w:ascii="Calibri" w:eastAsia="Calibri" w:hAnsi="Calibri" w:cs="Calibri"/>
          <w:i/>
          <w:color w:val="00B0F0"/>
        </w:rPr>
        <w:t>t</w:t>
      </w:r>
      <w:r w:rsidRPr="00F1615E">
        <w:rPr>
          <w:rFonts w:ascii="Calibri" w:eastAsia="Calibri" w:hAnsi="Calibri" w:cs="Calibri"/>
          <w:i/>
          <w:color w:val="00B0F0"/>
          <w:spacing w:val="-1"/>
        </w:rPr>
        <w:t>h</w:t>
      </w:r>
      <w:r w:rsidRPr="00F1615E">
        <w:rPr>
          <w:rFonts w:ascii="Calibri" w:eastAsia="Calibri" w:hAnsi="Calibri" w:cs="Calibri"/>
          <w:i/>
          <w:color w:val="00B0F0"/>
        </w:rPr>
        <w:t>e</w:t>
      </w:r>
      <w:r w:rsidRPr="00F1615E">
        <w:rPr>
          <w:rFonts w:ascii="Calibri" w:eastAsia="Calibri" w:hAnsi="Calibri" w:cs="Calibri"/>
          <w:i/>
          <w:color w:val="00B0F0"/>
          <w:spacing w:val="-4"/>
        </w:rPr>
        <w:t xml:space="preserve"> </w:t>
      </w:r>
      <w:r w:rsidRPr="00F1615E">
        <w:rPr>
          <w:rFonts w:ascii="Calibri" w:eastAsia="Calibri" w:hAnsi="Calibri" w:cs="Calibri"/>
          <w:i/>
          <w:color w:val="00B0F0"/>
        </w:rPr>
        <w:t>l</w:t>
      </w:r>
      <w:r w:rsidRPr="00F1615E">
        <w:rPr>
          <w:rFonts w:ascii="Calibri" w:eastAsia="Calibri" w:hAnsi="Calibri" w:cs="Calibri"/>
          <w:i/>
          <w:color w:val="00B0F0"/>
          <w:spacing w:val="-1"/>
        </w:rPr>
        <w:t>a</w:t>
      </w:r>
      <w:r w:rsidRPr="00F1615E">
        <w:rPr>
          <w:rFonts w:ascii="Calibri" w:eastAsia="Calibri" w:hAnsi="Calibri" w:cs="Calibri"/>
          <w:i/>
          <w:color w:val="00B0F0"/>
        </w:rPr>
        <w:t>y</w:t>
      </w:r>
      <w:r w:rsidRPr="00F1615E">
        <w:rPr>
          <w:rFonts w:ascii="Calibri" w:eastAsia="Calibri" w:hAnsi="Calibri" w:cs="Calibri"/>
          <w:i/>
          <w:color w:val="00B0F0"/>
          <w:spacing w:val="-2"/>
        </w:rPr>
        <w:t xml:space="preserve"> </w:t>
      </w:r>
      <w:r w:rsidRPr="00F1615E">
        <w:rPr>
          <w:rFonts w:ascii="Calibri" w:eastAsia="Calibri" w:hAnsi="Calibri" w:cs="Calibri"/>
          <w:i/>
          <w:color w:val="00B0F0"/>
          <w:spacing w:val="1"/>
        </w:rPr>
        <w:t>r</w:t>
      </w:r>
      <w:r w:rsidRPr="00F1615E">
        <w:rPr>
          <w:rFonts w:ascii="Calibri" w:eastAsia="Calibri" w:hAnsi="Calibri" w:cs="Calibri"/>
          <w:i/>
          <w:color w:val="00B0F0"/>
        </w:rPr>
        <w:t>e</w:t>
      </w:r>
      <w:r w:rsidRPr="00F1615E">
        <w:rPr>
          <w:rFonts w:ascii="Calibri" w:eastAsia="Calibri" w:hAnsi="Calibri" w:cs="Calibri"/>
          <w:i/>
          <w:color w:val="00B0F0"/>
          <w:spacing w:val="-1"/>
        </w:rPr>
        <w:t>ad</w:t>
      </w:r>
      <w:r w:rsidRPr="00F1615E">
        <w:rPr>
          <w:rFonts w:ascii="Calibri" w:eastAsia="Calibri" w:hAnsi="Calibri" w:cs="Calibri"/>
          <w:i/>
          <w:color w:val="00B0F0"/>
          <w:spacing w:val="-2"/>
        </w:rPr>
        <w:t>e</w:t>
      </w:r>
      <w:r w:rsidRPr="00F1615E">
        <w:rPr>
          <w:rFonts w:ascii="Calibri" w:eastAsia="Calibri" w:hAnsi="Calibri" w:cs="Calibri"/>
          <w:i/>
          <w:color w:val="00B0F0"/>
          <w:spacing w:val="1"/>
        </w:rPr>
        <w:t>r</w:t>
      </w:r>
      <w:r w:rsidRPr="00F1615E">
        <w:rPr>
          <w:rFonts w:ascii="Calibri" w:eastAsia="Calibri" w:hAnsi="Calibri" w:cs="Calibri"/>
          <w:i/>
          <w:color w:val="00B0F0"/>
        </w:rPr>
        <w:t>]</w:t>
      </w:r>
    </w:p>
    <w:p w14:paraId="4B4B3498" w14:textId="77777777" w:rsidR="00ED4FE1" w:rsidRPr="004F101B" w:rsidRDefault="00ED4FE1" w:rsidP="004F101B">
      <w:pPr>
        <w:spacing w:after="0" w:line="240" w:lineRule="auto"/>
        <w:ind w:left="360" w:right="936"/>
        <w:rPr>
          <w:rFonts w:ascii="Calibri" w:eastAsia="Calibri" w:hAnsi="Calibri" w:cs="Calibri"/>
        </w:rPr>
      </w:pPr>
    </w:p>
    <w:p w14:paraId="27B25BE4" w14:textId="7CB3E462" w:rsidR="00004DF2" w:rsidRPr="001B6B13" w:rsidRDefault="00004DF2" w:rsidP="00CC45AE">
      <w:pPr>
        <w:spacing w:after="0" w:line="240" w:lineRule="auto"/>
        <w:ind w:left="360"/>
      </w:pPr>
      <w:r w:rsidRPr="001B6B13">
        <w:rPr>
          <w:b/>
        </w:rPr>
        <w:t>Note:</w:t>
      </w:r>
      <w:r w:rsidRPr="001B6B13">
        <w:t xml:space="preserve"> </w:t>
      </w:r>
      <w:r w:rsidR="000952A6">
        <w:t>Some</w:t>
      </w:r>
      <w:r w:rsidR="000952A6" w:rsidRPr="001B6B13">
        <w:t xml:space="preserve"> </w:t>
      </w:r>
      <w:r w:rsidRPr="001B6B13">
        <w:t xml:space="preserve">of the definitions above were obtained from the IRBMed Glossary. These definitions were current as of </w:t>
      </w:r>
      <w:r w:rsidR="004066EF">
        <w:t>01-Oct-2022</w:t>
      </w:r>
      <w:r w:rsidRPr="001B6B13">
        <w:t xml:space="preserve"> and are subject to change. Please see the </w:t>
      </w:r>
      <w:hyperlink r:id="rId12" w:history="1">
        <w:r w:rsidRPr="001B6B13">
          <w:rPr>
            <w:rStyle w:val="Hyperlink"/>
          </w:rPr>
          <w:t>IRBMed Glossary</w:t>
        </w:r>
      </w:hyperlink>
      <w:r w:rsidRPr="001B6B13">
        <w:t xml:space="preserve"> for the most current definitions and additional guidance.</w:t>
      </w:r>
    </w:p>
    <w:p w14:paraId="1F2D8B34" w14:textId="54EF8739" w:rsidR="00223800" w:rsidRPr="001B6B13" w:rsidRDefault="00004DF2" w:rsidP="00087D50">
      <w:pPr>
        <w:pStyle w:val="NormalWeb"/>
        <w:spacing w:before="0" w:beforeAutospacing="0" w:after="0" w:afterAutospacing="0"/>
        <w:ind w:left="180" w:firstLine="180"/>
        <w:rPr>
          <w:rFonts w:asciiTheme="minorHAnsi" w:eastAsiaTheme="minorHAnsi" w:hAnsiTheme="minorHAnsi" w:cstheme="minorBidi"/>
          <w:sz w:val="22"/>
          <w:szCs w:val="22"/>
        </w:rPr>
      </w:pPr>
      <w:r w:rsidRPr="001B6B13">
        <w:rPr>
          <w:rFonts w:asciiTheme="minorHAnsi" w:hAnsiTheme="minorHAnsi" w:cs="Arial"/>
          <w:sz w:val="22"/>
          <w:szCs w:val="22"/>
        </w:rPr>
        <w:t>(</w:t>
      </w:r>
      <w:r w:rsidRPr="001B6B13">
        <w:rPr>
          <w:rFonts w:asciiTheme="minorHAnsi" w:hAnsiTheme="minorHAnsi" w:cs="Arial"/>
          <w:b/>
          <w:sz w:val="22"/>
          <w:szCs w:val="22"/>
        </w:rPr>
        <w:t>MANDATORY LANGUAGE</w:t>
      </w:r>
      <w:r w:rsidRPr="001B6B13">
        <w:rPr>
          <w:rFonts w:asciiTheme="minorHAnsi" w:hAnsiTheme="minorHAnsi" w:cs="Arial"/>
          <w:sz w:val="22"/>
          <w:szCs w:val="22"/>
        </w:rPr>
        <w:t>)</w:t>
      </w:r>
    </w:p>
    <w:p w14:paraId="4F8D03AF" w14:textId="77777777" w:rsidR="001956F1" w:rsidRPr="00F1615E" w:rsidRDefault="001956F1" w:rsidP="00223800">
      <w:pPr>
        <w:spacing w:after="0" w:line="240" w:lineRule="auto"/>
        <w:ind w:left="288"/>
        <w:rPr>
          <w:rFonts w:ascii="Calibri" w:eastAsia="Calibri" w:hAnsi="Calibri" w:cs="Calibri"/>
          <w:i/>
          <w:color w:val="00B0F0"/>
        </w:rPr>
      </w:pPr>
    </w:p>
    <w:p w14:paraId="6FD33D84" w14:textId="77777777" w:rsidR="00F14432" w:rsidRDefault="001956F1" w:rsidP="001956F1">
      <w:pPr>
        <w:pStyle w:val="ListParagraph"/>
        <w:numPr>
          <w:ilvl w:val="0"/>
          <w:numId w:val="10"/>
        </w:numPr>
        <w:spacing w:after="0" w:line="240" w:lineRule="auto"/>
        <w:rPr>
          <w:rFonts w:ascii="Calibri" w:eastAsia="Calibri" w:hAnsi="Calibri" w:cs="Calibri"/>
          <w:b/>
          <w:bCs/>
        </w:rPr>
      </w:pPr>
      <w:r>
        <w:rPr>
          <w:rFonts w:ascii="Calibri" w:eastAsia="Calibri" w:hAnsi="Calibri" w:cs="Calibri"/>
          <w:b/>
          <w:bCs/>
          <w:spacing w:val="1"/>
        </w:rPr>
        <w:t>ROLES AND RESPONSIBILITIES</w:t>
      </w:r>
    </w:p>
    <w:p w14:paraId="15EBF534" w14:textId="77777777" w:rsidR="001956F1" w:rsidRDefault="001956F1" w:rsidP="001956F1">
      <w:pPr>
        <w:pStyle w:val="ListParagraph"/>
        <w:spacing w:after="0" w:line="240" w:lineRule="auto"/>
        <w:ind w:left="360"/>
        <w:rPr>
          <w:rFonts w:ascii="Calibri" w:eastAsia="Calibri" w:hAnsi="Calibri" w:cs="Calibri"/>
          <w:b/>
          <w:bCs/>
        </w:rPr>
      </w:pPr>
    </w:p>
    <w:p w14:paraId="182A964C" w14:textId="77777777" w:rsidR="001764B6" w:rsidRDefault="00F021CE" w:rsidP="00227FD1">
      <w:pPr>
        <w:spacing w:after="0" w:line="240" w:lineRule="auto"/>
        <w:ind w:right="-20" w:firstLine="360"/>
        <w:rPr>
          <w:b/>
        </w:rPr>
      </w:pPr>
      <w:r w:rsidRPr="006014E7">
        <w:rPr>
          <w:b/>
        </w:rPr>
        <w:t>Principal Investigator</w:t>
      </w:r>
    </w:p>
    <w:p w14:paraId="1B8FD0B5" w14:textId="22908656" w:rsidR="00BA66FA" w:rsidRDefault="003253CA" w:rsidP="006F414F">
      <w:pPr>
        <w:spacing w:after="0" w:line="240" w:lineRule="auto"/>
        <w:ind w:left="360" w:right="936"/>
        <w:rPr>
          <w:rFonts w:eastAsia="Calibri" w:cstheme="minorHAnsi"/>
          <w:spacing w:val="-1"/>
        </w:rPr>
      </w:pPr>
      <w:r w:rsidRPr="00893A96">
        <w:t xml:space="preserve">An individual filling the role of </w:t>
      </w:r>
      <w:r w:rsidR="00A0123B" w:rsidRPr="00B70390">
        <w:rPr>
          <w:rFonts w:eastAsia="Calibri" w:cstheme="minorHAnsi"/>
          <w:spacing w:val="-1"/>
        </w:rPr>
        <w:t xml:space="preserve">Principal </w:t>
      </w:r>
      <w:r w:rsidR="009539D9" w:rsidRPr="00B70390">
        <w:rPr>
          <w:rFonts w:eastAsia="Calibri" w:cstheme="minorHAnsi"/>
          <w:spacing w:val="-1"/>
        </w:rPr>
        <w:t>Investigator</w:t>
      </w:r>
      <w:r w:rsidR="00A0123B" w:rsidRPr="00B70390">
        <w:rPr>
          <w:rFonts w:eastAsia="Calibri" w:cstheme="minorHAnsi"/>
          <w:spacing w:val="-1"/>
        </w:rPr>
        <w:t xml:space="preserve"> (PI)</w:t>
      </w:r>
      <w:r w:rsidR="00722ED2" w:rsidRPr="00B70390">
        <w:rPr>
          <w:rFonts w:eastAsia="Calibri" w:cstheme="minorHAnsi"/>
          <w:spacing w:val="-1"/>
        </w:rPr>
        <w:t xml:space="preserve"> </w:t>
      </w:r>
      <w:r w:rsidR="00A0123B" w:rsidRPr="00722ED2">
        <w:rPr>
          <w:rFonts w:eastAsia="Calibri" w:cstheme="minorHAnsi"/>
          <w:spacing w:val="-1"/>
        </w:rPr>
        <w:t xml:space="preserve">is </w:t>
      </w:r>
      <w:r w:rsidR="00D80FDE">
        <w:rPr>
          <w:rFonts w:eastAsia="Calibri" w:cstheme="minorHAnsi"/>
          <w:spacing w:val="-1"/>
        </w:rPr>
        <w:t xml:space="preserve">ultimately </w:t>
      </w:r>
      <w:r w:rsidR="00A0123B" w:rsidRPr="00972A57">
        <w:rPr>
          <w:rFonts w:eastAsia="Calibri" w:cstheme="minorHAnsi"/>
          <w:i/>
          <w:spacing w:val="-1"/>
        </w:rPr>
        <w:t>responsible</w:t>
      </w:r>
      <w:r w:rsidR="00A0123B" w:rsidRPr="00722ED2">
        <w:rPr>
          <w:rFonts w:eastAsia="Calibri" w:cstheme="minorHAnsi"/>
          <w:spacing w:val="-1"/>
        </w:rPr>
        <w:t xml:space="preserve"> for </w:t>
      </w:r>
      <w:r w:rsidR="00BA66FA">
        <w:rPr>
          <w:rFonts w:eastAsia="Calibri" w:cstheme="minorHAnsi"/>
          <w:spacing w:val="-1"/>
        </w:rPr>
        <w:t>the following activities:</w:t>
      </w:r>
    </w:p>
    <w:p w14:paraId="171C3B28" w14:textId="4E34E0F5" w:rsidR="00771B37" w:rsidRPr="007B4E81" w:rsidRDefault="00771B37" w:rsidP="00D46F79">
      <w:pPr>
        <w:pStyle w:val="ListParagraph"/>
        <w:numPr>
          <w:ilvl w:val="0"/>
          <w:numId w:val="17"/>
        </w:numPr>
        <w:spacing w:after="0" w:line="240" w:lineRule="auto"/>
        <w:ind w:left="1080" w:right="936"/>
        <w:rPr>
          <w:rFonts w:cstheme="minorHAnsi"/>
        </w:rPr>
      </w:pPr>
      <w:r w:rsidRPr="007B4E81">
        <w:rPr>
          <w:rFonts w:cstheme="minorHAnsi"/>
        </w:rPr>
        <w:t>Understands</w:t>
      </w:r>
      <w:r w:rsidR="000F1324" w:rsidRPr="007B4E81">
        <w:rPr>
          <w:rFonts w:cstheme="minorHAnsi"/>
        </w:rPr>
        <w:t xml:space="preserve"> and adheres to </w:t>
      </w:r>
      <w:r w:rsidRPr="007B4E81">
        <w:rPr>
          <w:rFonts w:cstheme="minorHAnsi"/>
        </w:rPr>
        <w:t xml:space="preserve">the </w:t>
      </w:r>
      <w:r w:rsidR="003201E8" w:rsidRPr="007B4E81">
        <w:rPr>
          <w:rFonts w:cstheme="minorHAnsi"/>
        </w:rPr>
        <w:t>research protocol</w:t>
      </w:r>
      <w:r w:rsidRPr="007B4E81">
        <w:rPr>
          <w:rFonts w:cstheme="minorHAnsi"/>
        </w:rPr>
        <w:t>, regulatory</w:t>
      </w:r>
      <w:r w:rsidR="000F1324" w:rsidRPr="007B4E81">
        <w:rPr>
          <w:rFonts w:cstheme="minorHAnsi"/>
        </w:rPr>
        <w:t>, institutional,</w:t>
      </w:r>
      <w:r w:rsidRPr="007B4E81">
        <w:rPr>
          <w:rFonts w:cstheme="minorHAnsi"/>
        </w:rPr>
        <w:t xml:space="preserve"> and </w:t>
      </w:r>
      <w:r w:rsidR="00F97C7D">
        <w:rPr>
          <w:rFonts w:cstheme="minorHAnsi"/>
        </w:rPr>
        <w:t xml:space="preserve">when </w:t>
      </w:r>
      <w:r w:rsidR="00B82CD1">
        <w:rPr>
          <w:rFonts w:cstheme="minorHAnsi"/>
        </w:rPr>
        <w:t xml:space="preserve">applicable, </w:t>
      </w:r>
      <w:r w:rsidR="00FA69E3">
        <w:rPr>
          <w:rFonts w:cstheme="minorHAnsi"/>
        </w:rPr>
        <w:t xml:space="preserve">ICH </w:t>
      </w:r>
      <w:r w:rsidRPr="007B4E81">
        <w:rPr>
          <w:rFonts w:cstheme="minorHAnsi"/>
        </w:rPr>
        <w:t xml:space="preserve">Good Clinical Practice </w:t>
      </w:r>
      <w:r w:rsidR="00660C1F">
        <w:rPr>
          <w:rFonts w:cstheme="minorHAnsi"/>
        </w:rPr>
        <w:t>(</w:t>
      </w:r>
      <w:r w:rsidR="00972A57">
        <w:rPr>
          <w:rFonts w:cstheme="minorHAnsi"/>
        </w:rPr>
        <w:t xml:space="preserve">ICH </w:t>
      </w:r>
      <w:r w:rsidR="00660C1F">
        <w:rPr>
          <w:rFonts w:cstheme="minorHAnsi"/>
        </w:rPr>
        <w:t xml:space="preserve">GCP) </w:t>
      </w:r>
      <w:r w:rsidRPr="007B4E81">
        <w:rPr>
          <w:rFonts w:cstheme="minorHAnsi"/>
        </w:rPr>
        <w:t>guidelines</w:t>
      </w:r>
      <w:r w:rsidR="005362E2">
        <w:rPr>
          <w:rFonts w:cstheme="minorHAnsi"/>
        </w:rPr>
        <w:t xml:space="preserve"> </w:t>
      </w:r>
      <w:r w:rsidRPr="007B4E81">
        <w:rPr>
          <w:rFonts w:cstheme="minorHAnsi"/>
        </w:rPr>
        <w:t>that define compliance and non-compliance</w:t>
      </w:r>
    </w:p>
    <w:p w14:paraId="34D4A33F" w14:textId="212F8993" w:rsidR="00DE2804" w:rsidRPr="007B4E81" w:rsidRDefault="00306A65" w:rsidP="00D46F79">
      <w:pPr>
        <w:pStyle w:val="ListParagraph"/>
        <w:numPr>
          <w:ilvl w:val="0"/>
          <w:numId w:val="16"/>
        </w:numPr>
        <w:spacing w:after="0" w:line="240" w:lineRule="auto"/>
        <w:ind w:left="1080" w:right="936"/>
        <w:rPr>
          <w:rFonts w:ascii="Calibri" w:eastAsia="Calibri" w:hAnsi="Calibri" w:cs="Calibri"/>
        </w:rPr>
      </w:pPr>
      <w:r w:rsidRPr="007B4E81">
        <w:rPr>
          <w:rFonts w:cstheme="minorHAnsi"/>
        </w:rPr>
        <w:t>Manages and oversees</w:t>
      </w:r>
      <w:r w:rsidR="00F732FB" w:rsidRPr="007B4E81">
        <w:rPr>
          <w:rFonts w:cstheme="minorHAnsi"/>
        </w:rPr>
        <w:t xml:space="preserve"> the</w:t>
      </w:r>
      <w:r w:rsidR="004A3CC5" w:rsidRPr="007B4E81">
        <w:rPr>
          <w:rFonts w:cstheme="minorHAnsi"/>
        </w:rPr>
        <w:t xml:space="preserve"> conduct of clini</w:t>
      </w:r>
      <w:r w:rsidR="00F66654" w:rsidRPr="007B4E81">
        <w:rPr>
          <w:rFonts w:cstheme="minorHAnsi"/>
        </w:rPr>
        <w:t>cal trial</w:t>
      </w:r>
      <w:r w:rsidR="00F732FB" w:rsidRPr="007B4E81">
        <w:rPr>
          <w:rFonts w:cstheme="minorHAnsi"/>
        </w:rPr>
        <w:t>s</w:t>
      </w:r>
      <w:r w:rsidR="00F66654" w:rsidRPr="007B4E81">
        <w:rPr>
          <w:rFonts w:cstheme="minorHAnsi"/>
        </w:rPr>
        <w:t xml:space="preserve">, </w:t>
      </w:r>
      <w:r w:rsidR="00F732FB" w:rsidRPr="007B4E81">
        <w:rPr>
          <w:rFonts w:cstheme="minorHAnsi"/>
        </w:rPr>
        <w:t xml:space="preserve">including the </w:t>
      </w:r>
      <w:r w:rsidR="00F66654" w:rsidRPr="007B4E81">
        <w:rPr>
          <w:rFonts w:cstheme="minorHAnsi"/>
        </w:rPr>
        <w:t>documentation</w:t>
      </w:r>
      <w:r w:rsidR="00F732FB" w:rsidRPr="007B4E81">
        <w:rPr>
          <w:rFonts w:cstheme="minorHAnsi"/>
        </w:rPr>
        <w:t xml:space="preserve"> and reporting </w:t>
      </w:r>
      <w:r w:rsidR="00F66654" w:rsidRPr="007B4E81">
        <w:rPr>
          <w:rFonts w:cstheme="minorHAnsi"/>
        </w:rPr>
        <w:t>of</w:t>
      </w:r>
      <w:r w:rsidR="00F732FB" w:rsidRPr="007B4E81">
        <w:rPr>
          <w:rFonts w:cstheme="minorHAnsi"/>
        </w:rPr>
        <w:t xml:space="preserve"> </w:t>
      </w:r>
      <w:r w:rsidR="00F66654" w:rsidRPr="007B4E81">
        <w:rPr>
          <w:rFonts w:cstheme="minorHAnsi"/>
        </w:rPr>
        <w:t>non</w:t>
      </w:r>
      <w:r w:rsidR="00915237" w:rsidRPr="007B4E81">
        <w:rPr>
          <w:rFonts w:cstheme="minorHAnsi"/>
        </w:rPr>
        <w:t>compliance to oversight and/or regulatory bodies</w:t>
      </w:r>
      <w:r w:rsidR="004D171F" w:rsidRPr="007B4E81">
        <w:rPr>
          <w:rFonts w:cstheme="minorHAnsi"/>
        </w:rPr>
        <w:t>,</w:t>
      </w:r>
      <w:r w:rsidR="00915237" w:rsidRPr="007B4E81">
        <w:rPr>
          <w:rFonts w:cstheme="minorHAnsi"/>
        </w:rPr>
        <w:t xml:space="preserve"> as appropriate</w:t>
      </w:r>
    </w:p>
    <w:p w14:paraId="2A144C39" w14:textId="3B9312D5" w:rsidR="00CC45AE" w:rsidRPr="007B4E81" w:rsidRDefault="00306A65" w:rsidP="00D46F79">
      <w:pPr>
        <w:pStyle w:val="ListParagraph"/>
        <w:numPr>
          <w:ilvl w:val="0"/>
          <w:numId w:val="16"/>
        </w:numPr>
        <w:tabs>
          <w:tab w:val="left" w:pos="720"/>
        </w:tabs>
        <w:spacing w:after="0" w:line="240" w:lineRule="auto"/>
        <w:ind w:left="1080" w:right="936"/>
        <w:rPr>
          <w:rFonts w:ascii="Calibri" w:eastAsia="Calibri" w:hAnsi="Calibri" w:cs="Calibri"/>
        </w:rPr>
      </w:pPr>
      <w:r w:rsidRPr="007B4E81">
        <w:rPr>
          <w:rFonts w:cstheme="minorHAnsi"/>
        </w:rPr>
        <w:t>Creates</w:t>
      </w:r>
      <w:r w:rsidR="00CC45AE" w:rsidRPr="007B4E81">
        <w:rPr>
          <w:rFonts w:cstheme="minorHAnsi"/>
        </w:rPr>
        <w:t xml:space="preserve"> </w:t>
      </w:r>
      <w:r w:rsidR="00F732FB" w:rsidRPr="007B4E81">
        <w:rPr>
          <w:rFonts w:cstheme="minorHAnsi"/>
        </w:rPr>
        <w:t>processes and procedures to document non-compliance</w:t>
      </w:r>
    </w:p>
    <w:p w14:paraId="0559A372" w14:textId="047D8390" w:rsidR="008D1B33" w:rsidRPr="007B4E81" w:rsidRDefault="00831F5C" w:rsidP="00D46F79">
      <w:pPr>
        <w:pStyle w:val="ListParagraph"/>
        <w:numPr>
          <w:ilvl w:val="0"/>
          <w:numId w:val="16"/>
        </w:numPr>
        <w:tabs>
          <w:tab w:val="left" w:pos="720"/>
        </w:tabs>
        <w:spacing w:after="0" w:line="240" w:lineRule="auto"/>
        <w:ind w:left="1080" w:right="936"/>
        <w:rPr>
          <w:rFonts w:ascii="Calibri" w:eastAsia="Calibri" w:hAnsi="Calibri" w:cs="Calibri"/>
        </w:rPr>
      </w:pPr>
      <w:r w:rsidRPr="007B4E81">
        <w:rPr>
          <w:rFonts w:cs="Arial"/>
        </w:rPr>
        <w:t>Communicates with the IRBMED</w:t>
      </w:r>
      <w:r w:rsidR="0064654D" w:rsidRPr="007B4E81">
        <w:rPr>
          <w:rFonts w:cs="Arial"/>
        </w:rPr>
        <w:t xml:space="preserve">, ORCR </w:t>
      </w:r>
      <w:r w:rsidRPr="007B4E81">
        <w:rPr>
          <w:rFonts w:cs="Arial"/>
        </w:rPr>
        <w:t>and other applica</w:t>
      </w:r>
      <w:r w:rsidR="00F66654" w:rsidRPr="007B4E81">
        <w:rPr>
          <w:rFonts w:cs="Arial"/>
        </w:rPr>
        <w:t>ble entities in the case of non</w:t>
      </w:r>
      <w:r w:rsidRPr="007B4E81">
        <w:rPr>
          <w:rFonts w:cs="Arial"/>
        </w:rPr>
        <w:t>compliance</w:t>
      </w:r>
    </w:p>
    <w:p w14:paraId="31024836" w14:textId="37BD8CC4" w:rsidR="00915237" w:rsidRPr="007B4E81" w:rsidRDefault="00831F5C" w:rsidP="00D46F79">
      <w:pPr>
        <w:numPr>
          <w:ilvl w:val="0"/>
          <w:numId w:val="11"/>
        </w:numPr>
        <w:spacing w:after="0" w:line="240" w:lineRule="auto"/>
        <w:ind w:left="1080"/>
        <w:rPr>
          <w:rFonts w:eastAsia="Times New Roman" w:cstheme="minorHAnsi"/>
        </w:rPr>
      </w:pPr>
      <w:r w:rsidRPr="007B4E81">
        <w:rPr>
          <w:rFonts w:cs="Arial"/>
        </w:rPr>
        <w:t>R</w:t>
      </w:r>
      <w:r w:rsidR="00F66654" w:rsidRPr="007B4E81">
        <w:rPr>
          <w:rFonts w:cs="Arial"/>
        </w:rPr>
        <w:t>esponds to any reports of non</w:t>
      </w:r>
      <w:r w:rsidRPr="007B4E81">
        <w:rPr>
          <w:rFonts w:cs="Arial"/>
        </w:rPr>
        <w:t>compliance made by</w:t>
      </w:r>
      <w:r w:rsidR="004D171F" w:rsidRPr="007B4E81">
        <w:rPr>
          <w:rFonts w:cs="Arial"/>
        </w:rPr>
        <w:t xml:space="preserve"> </w:t>
      </w:r>
      <w:r w:rsidR="00915237" w:rsidRPr="007B4E81">
        <w:rPr>
          <w:rFonts w:cs="Arial"/>
        </w:rPr>
        <w:t>study staff, monitors, auditors,</w:t>
      </w:r>
      <w:r w:rsidR="00FE7061" w:rsidRPr="007B4E81">
        <w:rPr>
          <w:rFonts w:cs="Arial"/>
        </w:rPr>
        <w:t xml:space="preserve"> Co-Investigators, vendors, </w:t>
      </w:r>
      <w:r w:rsidR="00306A65" w:rsidRPr="007B4E81">
        <w:rPr>
          <w:rFonts w:cs="Arial"/>
        </w:rPr>
        <w:t>sponsors,</w:t>
      </w:r>
      <w:r w:rsidR="00915237" w:rsidRPr="007B4E81">
        <w:rPr>
          <w:rFonts w:cs="Arial"/>
        </w:rPr>
        <w:t xml:space="preserve"> </w:t>
      </w:r>
      <w:r w:rsidR="00FE7061" w:rsidRPr="007B4E81">
        <w:rPr>
          <w:rFonts w:cs="Arial"/>
        </w:rPr>
        <w:t xml:space="preserve">or </w:t>
      </w:r>
      <w:r w:rsidR="00306A65" w:rsidRPr="007B4E81">
        <w:rPr>
          <w:rFonts w:cs="Arial"/>
        </w:rPr>
        <w:t>research</w:t>
      </w:r>
      <w:r w:rsidR="00915237" w:rsidRPr="007B4E81">
        <w:rPr>
          <w:rFonts w:cs="Arial"/>
        </w:rPr>
        <w:t xml:space="preserve"> subjects</w:t>
      </w:r>
    </w:p>
    <w:p w14:paraId="252D8E53" w14:textId="0A0D9CBF" w:rsidR="003043DF" w:rsidRPr="000B39D5" w:rsidRDefault="003043DF" w:rsidP="00D46F79">
      <w:pPr>
        <w:numPr>
          <w:ilvl w:val="0"/>
          <w:numId w:val="11"/>
        </w:numPr>
        <w:tabs>
          <w:tab w:val="left" w:pos="1080"/>
        </w:tabs>
        <w:spacing w:after="0" w:line="240" w:lineRule="auto"/>
        <w:ind w:left="1080"/>
        <w:rPr>
          <w:rFonts w:eastAsia="Times New Roman" w:cstheme="minorHAnsi"/>
        </w:rPr>
      </w:pPr>
      <w:r w:rsidRPr="000B39D5">
        <w:rPr>
          <w:rFonts w:cs="Arial"/>
        </w:rPr>
        <w:t xml:space="preserve">Educates study staff and </w:t>
      </w:r>
      <w:r w:rsidR="00306A65" w:rsidRPr="000B39D5">
        <w:rPr>
          <w:rFonts w:cs="Arial"/>
        </w:rPr>
        <w:t xml:space="preserve">research </w:t>
      </w:r>
      <w:r w:rsidRPr="000B39D5">
        <w:rPr>
          <w:rFonts w:cs="Arial"/>
        </w:rPr>
        <w:t xml:space="preserve">subjects </w:t>
      </w:r>
      <w:r w:rsidR="00F749E0" w:rsidRPr="000B39D5">
        <w:rPr>
          <w:rFonts w:cs="Arial"/>
        </w:rPr>
        <w:t>to</w:t>
      </w:r>
      <w:r w:rsidR="00F2428B" w:rsidRPr="000B39D5">
        <w:rPr>
          <w:rFonts w:cs="Arial"/>
        </w:rPr>
        <w:t xml:space="preserve"> prevent continuing non-compliance</w:t>
      </w:r>
    </w:p>
    <w:p w14:paraId="5AE0031C" w14:textId="3591F0F1" w:rsidR="008D1B33" w:rsidRPr="00972A57" w:rsidRDefault="008D1B33" w:rsidP="00D46F79">
      <w:pPr>
        <w:numPr>
          <w:ilvl w:val="0"/>
          <w:numId w:val="11"/>
        </w:numPr>
        <w:tabs>
          <w:tab w:val="clear" w:pos="720"/>
          <w:tab w:val="num" w:pos="1080"/>
        </w:tabs>
        <w:spacing w:after="0" w:line="240" w:lineRule="auto"/>
        <w:ind w:left="1080"/>
        <w:rPr>
          <w:rFonts w:eastAsia="Times New Roman" w:cstheme="minorHAnsi"/>
        </w:rPr>
      </w:pPr>
      <w:r w:rsidRPr="000B39D5">
        <w:rPr>
          <w:rFonts w:cs="Arial"/>
        </w:rPr>
        <w:t>Oversees the termination of a clinical research site or the clinical trial for reasons of continuing noncompliance, when appropriate</w:t>
      </w:r>
    </w:p>
    <w:p w14:paraId="1D7E5248" w14:textId="004D50E8" w:rsidR="00D80FDE" w:rsidRPr="000B39D5" w:rsidRDefault="00D80FDE" w:rsidP="00D46F79">
      <w:pPr>
        <w:numPr>
          <w:ilvl w:val="0"/>
          <w:numId w:val="11"/>
        </w:numPr>
        <w:tabs>
          <w:tab w:val="clear" w:pos="720"/>
          <w:tab w:val="num" w:pos="1080"/>
        </w:tabs>
        <w:spacing w:after="0" w:line="240" w:lineRule="auto"/>
        <w:ind w:left="1080"/>
        <w:rPr>
          <w:rFonts w:eastAsia="Times New Roman" w:cstheme="minorHAnsi"/>
        </w:rPr>
      </w:pPr>
      <w:r>
        <w:rPr>
          <w:rFonts w:cs="Arial"/>
        </w:rPr>
        <w:t>Delegates responsibi</w:t>
      </w:r>
      <w:r w:rsidR="00120FAE">
        <w:rPr>
          <w:rFonts w:cs="Arial"/>
        </w:rPr>
        <w:t>lit</w:t>
      </w:r>
      <w:r>
        <w:rPr>
          <w:rFonts w:cs="Arial"/>
        </w:rPr>
        <w:t>ies where appropriate</w:t>
      </w:r>
    </w:p>
    <w:p w14:paraId="6C5CE066" w14:textId="77777777" w:rsidR="00E54A87" w:rsidRPr="001C50F2" w:rsidRDefault="00E54A87" w:rsidP="003201E8">
      <w:pPr>
        <w:spacing w:after="0" w:line="240" w:lineRule="auto"/>
        <w:ind w:left="360"/>
        <w:rPr>
          <w:rFonts w:ascii="Calibri" w:eastAsia="Calibri" w:hAnsi="Calibri" w:cs="Calibri"/>
        </w:rPr>
      </w:pPr>
      <w:r w:rsidRPr="001C50F2">
        <w:rPr>
          <w:rFonts w:cs="Arial"/>
        </w:rPr>
        <w:t>(</w:t>
      </w:r>
      <w:r w:rsidRPr="001C50F2">
        <w:rPr>
          <w:rFonts w:cs="Arial"/>
          <w:b/>
        </w:rPr>
        <w:t>MANDATORY LANGUAGE</w:t>
      </w:r>
      <w:r w:rsidRPr="001C50F2">
        <w:rPr>
          <w:rFonts w:cs="Arial"/>
        </w:rPr>
        <w:t>)</w:t>
      </w:r>
    </w:p>
    <w:p w14:paraId="421987B0" w14:textId="77777777" w:rsidR="00223800" w:rsidRPr="008D5E59" w:rsidRDefault="00223800" w:rsidP="00E54A87">
      <w:pPr>
        <w:widowControl w:val="0"/>
        <w:autoSpaceDE w:val="0"/>
        <w:autoSpaceDN w:val="0"/>
        <w:adjustRightInd w:val="0"/>
        <w:spacing w:after="0" w:line="240" w:lineRule="auto"/>
        <w:ind w:right="720"/>
        <w:rPr>
          <w:rFonts w:cs="Calibri"/>
          <w:color w:val="00B0F0"/>
        </w:rPr>
      </w:pPr>
    </w:p>
    <w:p w14:paraId="687754A9" w14:textId="79B5CF6C" w:rsidR="00223800" w:rsidRDefault="00223800" w:rsidP="00223800">
      <w:pPr>
        <w:widowControl w:val="0"/>
        <w:autoSpaceDE w:val="0"/>
        <w:autoSpaceDN w:val="0"/>
        <w:adjustRightInd w:val="0"/>
        <w:spacing w:after="0" w:line="240" w:lineRule="auto"/>
        <w:ind w:left="360" w:right="720"/>
        <w:rPr>
          <w:rFonts w:cs="Calibri"/>
          <w:color w:val="00B0F0"/>
        </w:rPr>
      </w:pPr>
      <w:r w:rsidRPr="0024775D">
        <w:rPr>
          <w:rFonts w:cs="Calibri"/>
          <w:i/>
          <w:color w:val="00B0F0"/>
        </w:rPr>
        <w:t>[</w:t>
      </w:r>
      <w:r>
        <w:rPr>
          <w:rFonts w:cs="Calibri"/>
          <w:i/>
          <w:color w:val="00B0F0"/>
        </w:rPr>
        <w:t xml:space="preserve">Optional: Insert any additional </w:t>
      </w:r>
      <w:r w:rsidRPr="0024775D">
        <w:rPr>
          <w:rFonts w:cs="Calibri"/>
          <w:i/>
          <w:color w:val="00B0F0"/>
        </w:rPr>
        <w:t>details regarding the responsibi</w:t>
      </w:r>
      <w:r>
        <w:rPr>
          <w:rFonts w:cs="Calibri"/>
          <w:i/>
          <w:color w:val="00B0F0"/>
        </w:rPr>
        <w:t>lities of the Principal</w:t>
      </w:r>
      <w:r w:rsidR="006A4EE1">
        <w:rPr>
          <w:rFonts w:cs="Calibri"/>
          <w:i/>
          <w:color w:val="00B0F0"/>
        </w:rPr>
        <w:t xml:space="preserve"> Investigator</w:t>
      </w:r>
      <w:r>
        <w:rPr>
          <w:rFonts w:cs="Calibri"/>
          <w:color w:val="00B0F0"/>
        </w:rPr>
        <w:t>]</w:t>
      </w:r>
    </w:p>
    <w:p w14:paraId="44F7BC8C" w14:textId="77777777" w:rsidR="00BB3C4A" w:rsidRPr="00B068E2" w:rsidRDefault="00BB3C4A" w:rsidP="00223800">
      <w:pPr>
        <w:widowControl w:val="0"/>
        <w:autoSpaceDE w:val="0"/>
        <w:autoSpaceDN w:val="0"/>
        <w:adjustRightInd w:val="0"/>
        <w:spacing w:after="0" w:line="240" w:lineRule="auto"/>
        <w:ind w:left="360" w:right="720"/>
        <w:rPr>
          <w:rFonts w:cs="Calibri"/>
          <w:i/>
          <w:color w:val="00B0F0"/>
        </w:rPr>
      </w:pPr>
    </w:p>
    <w:p w14:paraId="6F0928F0" w14:textId="77777777" w:rsidR="00F021CE" w:rsidRPr="006014E7" w:rsidRDefault="00F021CE" w:rsidP="00E54A87">
      <w:pPr>
        <w:autoSpaceDE w:val="0"/>
        <w:autoSpaceDN w:val="0"/>
        <w:adjustRightInd w:val="0"/>
        <w:spacing w:after="0" w:line="240" w:lineRule="auto"/>
        <w:ind w:left="288" w:firstLine="72"/>
        <w:rPr>
          <w:b/>
        </w:rPr>
      </w:pPr>
      <w:r w:rsidRPr="006014E7">
        <w:rPr>
          <w:b/>
        </w:rPr>
        <w:t>Study Coordinator</w:t>
      </w:r>
      <w:r w:rsidR="00AD5B7A">
        <w:rPr>
          <w:b/>
        </w:rPr>
        <w:t>(s)</w:t>
      </w:r>
      <w:r w:rsidR="001235A4" w:rsidRPr="006014E7">
        <w:rPr>
          <w:b/>
        </w:rPr>
        <w:t>/Designee</w:t>
      </w:r>
    </w:p>
    <w:p w14:paraId="4D747679" w14:textId="31DA4F56" w:rsidR="004A3CC5" w:rsidRDefault="000D704F" w:rsidP="00E54A87">
      <w:pPr>
        <w:spacing w:after="0" w:line="240" w:lineRule="auto"/>
        <w:ind w:left="360" w:right="936"/>
        <w:rPr>
          <w:rFonts w:cstheme="minorHAnsi"/>
        </w:rPr>
      </w:pPr>
      <w:r w:rsidRPr="00893A96">
        <w:t xml:space="preserve">An individual filling </w:t>
      </w:r>
      <w:r w:rsidR="00405F99">
        <w:t xml:space="preserve">this role </w:t>
      </w:r>
      <w:r>
        <w:rPr>
          <w:rFonts w:cstheme="minorHAnsi"/>
        </w:rPr>
        <w:t>may be responsible for the following activities:</w:t>
      </w:r>
      <w:r w:rsidR="00E54A87">
        <w:rPr>
          <w:rFonts w:cstheme="minorHAnsi"/>
        </w:rPr>
        <w:t xml:space="preserve"> </w:t>
      </w:r>
    </w:p>
    <w:p w14:paraId="10AF5952" w14:textId="097C7C25" w:rsidR="00087D50" w:rsidRPr="000B39D5" w:rsidRDefault="003201E8" w:rsidP="00D46F79">
      <w:pPr>
        <w:numPr>
          <w:ilvl w:val="0"/>
          <w:numId w:val="11"/>
        </w:numPr>
        <w:tabs>
          <w:tab w:val="clear" w:pos="720"/>
          <w:tab w:val="left" w:pos="810"/>
        </w:tabs>
        <w:spacing w:after="0" w:line="240" w:lineRule="auto"/>
        <w:ind w:left="1080"/>
        <w:rPr>
          <w:rFonts w:eastAsia="Times New Roman" w:cstheme="minorHAnsi"/>
        </w:rPr>
      </w:pPr>
      <w:r w:rsidRPr="000B39D5">
        <w:rPr>
          <w:rFonts w:cstheme="minorHAnsi"/>
        </w:rPr>
        <w:t xml:space="preserve">Understands and adheres to the research protocol, regulatory, institutional, and </w:t>
      </w:r>
      <w:r w:rsidR="00F97C7D">
        <w:rPr>
          <w:rFonts w:cstheme="minorHAnsi"/>
        </w:rPr>
        <w:t xml:space="preserve">when </w:t>
      </w:r>
      <w:r w:rsidR="001B4F90">
        <w:rPr>
          <w:rFonts w:cstheme="minorHAnsi"/>
        </w:rPr>
        <w:t>applicable, ICH</w:t>
      </w:r>
      <w:r w:rsidR="009A43DA">
        <w:rPr>
          <w:rFonts w:cstheme="minorHAnsi"/>
        </w:rPr>
        <w:t xml:space="preserve"> </w:t>
      </w:r>
      <w:r w:rsidRPr="000B39D5">
        <w:rPr>
          <w:rFonts w:cstheme="minorHAnsi"/>
        </w:rPr>
        <w:t xml:space="preserve">Good Clinical Practice </w:t>
      </w:r>
      <w:r w:rsidR="00660C1F">
        <w:rPr>
          <w:rFonts w:cstheme="minorHAnsi"/>
        </w:rPr>
        <w:t>(</w:t>
      </w:r>
      <w:r w:rsidR="00972A57">
        <w:rPr>
          <w:rFonts w:cstheme="minorHAnsi"/>
        </w:rPr>
        <w:t xml:space="preserve">ICH </w:t>
      </w:r>
      <w:r w:rsidR="00660C1F">
        <w:rPr>
          <w:rFonts w:cstheme="minorHAnsi"/>
        </w:rPr>
        <w:t xml:space="preserve">GCP) </w:t>
      </w:r>
      <w:r w:rsidRPr="000B39D5">
        <w:rPr>
          <w:rFonts w:cstheme="minorHAnsi"/>
        </w:rPr>
        <w:t>guidelines</w:t>
      </w:r>
      <w:r w:rsidR="005362E2">
        <w:rPr>
          <w:rFonts w:cstheme="minorHAnsi"/>
        </w:rPr>
        <w:t xml:space="preserve"> </w:t>
      </w:r>
      <w:r w:rsidRPr="000B39D5">
        <w:rPr>
          <w:rFonts w:cstheme="minorHAnsi"/>
        </w:rPr>
        <w:t>that define compliance and non-compliance</w:t>
      </w:r>
    </w:p>
    <w:p w14:paraId="14465344" w14:textId="32025ACF" w:rsidR="00CC45AE" w:rsidRPr="000B39D5" w:rsidRDefault="002D265E" w:rsidP="00D46F79">
      <w:pPr>
        <w:numPr>
          <w:ilvl w:val="0"/>
          <w:numId w:val="11"/>
        </w:numPr>
        <w:tabs>
          <w:tab w:val="clear" w:pos="720"/>
        </w:tabs>
        <w:spacing w:after="0" w:line="240" w:lineRule="auto"/>
        <w:ind w:left="1080"/>
        <w:rPr>
          <w:rFonts w:eastAsia="Times New Roman" w:cstheme="minorHAnsi"/>
        </w:rPr>
      </w:pPr>
      <w:r w:rsidRPr="000B39D5">
        <w:rPr>
          <w:rFonts w:eastAsia="Times New Roman" w:cstheme="minorHAnsi"/>
        </w:rPr>
        <w:t xml:space="preserve">Documents </w:t>
      </w:r>
      <w:r w:rsidR="004A3CC5" w:rsidRPr="000B39D5">
        <w:rPr>
          <w:rFonts w:eastAsia="Times New Roman" w:cstheme="minorHAnsi"/>
        </w:rPr>
        <w:t>noncompliance</w:t>
      </w:r>
      <w:r w:rsidRPr="000B39D5">
        <w:rPr>
          <w:rFonts w:eastAsia="Times New Roman" w:cstheme="minorHAnsi"/>
        </w:rPr>
        <w:t xml:space="preserve"> in</w:t>
      </w:r>
      <w:r w:rsidR="004E4BC6" w:rsidRPr="000B39D5">
        <w:rPr>
          <w:rFonts w:eastAsia="Times New Roman" w:cstheme="minorHAnsi"/>
        </w:rPr>
        <w:t xml:space="preserve"> an accurate and time-sensitive </w:t>
      </w:r>
      <w:r w:rsidRPr="000B39D5">
        <w:rPr>
          <w:rFonts w:eastAsia="Times New Roman" w:cstheme="minorHAnsi"/>
        </w:rPr>
        <w:t>manner</w:t>
      </w:r>
    </w:p>
    <w:p w14:paraId="71952568" w14:textId="68F52208" w:rsidR="00915237" w:rsidRPr="000B39D5" w:rsidRDefault="00915237" w:rsidP="00D46F79">
      <w:pPr>
        <w:numPr>
          <w:ilvl w:val="0"/>
          <w:numId w:val="11"/>
        </w:numPr>
        <w:tabs>
          <w:tab w:val="clear" w:pos="720"/>
        </w:tabs>
        <w:spacing w:after="0" w:line="240" w:lineRule="auto"/>
        <w:ind w:left="1080"/>
        <w:rPr>
          <w:rFonts w:eastAsia="Times New Roman" w:cstheme="minorHAnsi"/>
        </w:rPr>
      </w:pPr>
      <w:r w:rsidRPr="000B39D5">
        <w:rPr>
          <w:rFonts w:eastAsia="Times New Roman" w:cstheme="minorHAnsi"/>
        </w:rPr>
        <w:t>Re</w:t>
      </w:r>
      <w:r w:rsidR="002D265E" w:rsidRPr="000B39D5">
        <w:rPr>
          <w:rFonts w:eastAsia="Times New Roman" w:cstheme="minorHAnsi"/>
        </w:rPr>
        <w:t xml:space="preserve">ports </w:t>
      </w:r>
      <w:r w:rsidRPr="000B39D5">
        <w:rPr>
          <w:rFonts w:eastAsia="Times New Roman" w:cstheme="minorHAnsi"/>
        </w:rPr>
        <w:t>identified noncompliance to the PI</w:t>
      </w:r>
    </w:p>
    <w:p w14:paraId="76BBEE2C" w14:textId="26779D51" w:rsidR="00815930" w:rsidRDefault="005C744A" w:rsidP="00815930">
      <w:pPr>
        <w:numPr>
          <w:ilvl w:val="0"/>
          <w:numId w:val="11"/>
        </w:numPr>
        <w:tabs>
          <w:tab w:val="clear" w:pos="720"/>
        </w:tabs>
        <w:spacing w:after="0" w:line="240" w:lineRule="auto"/>
        <w:ind w:left="1080"/>
        <w:rPr>
          <w:rFonts w:eastAsia="Times New Roman" w:cstheme="minorHAnsi"/>
        </w:rPr>
      </w:pPr>
      <w:r w:rsidRPr="000B39D5">
        <w:rPr>
          <w:rFonts w:eastAsia="Times New Roman" w:cstheme="minorHAnsi"/>
        </w:rPr>
        <w:t>Seeks to minimize the re-occurrence of protocol deviations and other sources of non-compliance through process improvements,</w:t>
      </w:r>
      <w:r w:rsidR="0063296F" w:rsidRPr="000B39D5">
        <w:rPr>
          <w:rFonts w:eastAsia="Times New Roman" w:cstheme="minorHAnsi"/>
        </w:rPr>
        <w:t xml:space="preserve"> additional </w:t>
      </w:r>
      <w:r w:rsidRPr="000B39D5">
        <w:rPr>
          <w:rFonts w:eastAsia="Times New Roman" w:cstheme="minorHAnsi"/>
        </w:rPr>
        <w:t>training, etc.</w:t>
      </w:r>
    </w:p>
    <w:p w14:paraId="0C656F4A" w14:textId="77777777" w:rsidR="00815930" w:rsidRPr="00815930" w:rsidRDefault="00815930" w:rsidP="00815930">
      <w:pPr>
        <w:pStyle w:val="ListParagraph"/>
        <w:autoSpaceDE w:val="0"/>
        <w:autoSpaceDN w:val="0"/>
        <w:adjustRightInd w:val="0"/>
        <w:spacing w:after="0" w:line="240" w:lineRule="auto"/>
        <w:ind w:left="360"/>
        <w:rPr>
          <w:rFonts w:ascii="Calibri" w:eastAsia="Calibri" w:hAnsi="Calibri" w:cs="Calibri"/>
        </w:rPr>
      </w:pPr>
      <w:r w:rsidRPr="00815930">
        <w:rPr>
          <w:rFonts w:cs="Arial"/>
        </w:rPr>
        <w:t>(</w:t>
      </w:r>
      <w:r w:rsidRPr="00815930">
        <w:rPr>
          <w:rFonts w:cs="Arial"/>
          <w:b/>
        </w:rPr>
        <w:t>MANDATORY LANGUAGE</w:t>
      </w:r>
      <w:r w:rsidRPr="00815930">
        <w:rPr>
          <w:rFonts w:cs="Arial"/>
        </w:rPr>
        <w:t>)</w:t>
      </w:r>
    </w:p>
    <w:p w14:paraId="55DAFF98" w14:textId="77777777" w:rsidR="00815930" w:rsidRPr="00815930" w:rsidRDefault="00815930" w:rsidP="00815930">
      <w:pPr>
        <w:spacing w:after="0" w:line="240" w:lineRule="auto"/>
        <w:ind w:left="1080"/>
        <w:rPr>
          <w:rFonts w:eastAsia="Times New Roman" w:cstheme="minorHAnsi"/>
        </w:rPr>
      </w:pPr>
    </w:p>
    <w:p w14:paraId="0EE2F326" w14:textId="77777777" w:rsidR="00CE56F1" w:rsidRPr="00B068E2" w:rsidRDefault="00CE56F1" w:rsidP="00CE56F1">
      <w:pPr>
        <w:widowControl w:val="0"/>
        <w:autoSpaceDE w:val="0"/>
        <w:autoSpaceDN w:val="0"/>
        <w:adjustRightInd w:val="0"/>
        <w:spacing w:after="0" w:line="240" w:lineRule="auto"/>
        <w:ind w:left="360" w:right="720"/>
        <w:rPr>
          <w:rFonts w:cs="Calibri"/>
          <w:i/>
          <w:color w:val="00B0F0"/>
        </w:rPr>
      </w:pPr>
      <w:r w:rsidRPr="0024775D">
        <w:rPr>
          <w:rFonts w:cs="Calibri"/>
          <w:i/>
          <w:color w:val="00B0F0"/>
        </w:rPr>
        <w:t>[</w:t>
      </w:r>
      <w:r>
        <w:rPr>
          <w:rFonts w:cs="Calibri"/>
          <w:i/>
          <w:color w:val="00B0F0"/>
        </w:rPr>
        <w:t xml:space="preserve">Optional: Insert any additional </w:t>
      </w:r>
      <w:r w:rsidRPr="0024775D">
        <w:rPr>
          <w:rFonts w:cs="Calibri"/>
          <w:i/>
          <w:color w:val="00B0F0"/>
        </w:rPr>
        <w:t>details regarding the responsibi</w:t>
      </w:r>
      <w:r>
        <w:rPr>
          <w:rFonts w:cs="Calibri"/>
          <w:i/>
          <w:color w:val="00B0F0"/>
        </w:rPr>
        <w:t>lities of the Study Coordinator/Designee</w:t>
      </w:r>
      <w:r>
        <w:rPr>
          <w:rFonts w:cs="Calibri"/>
          <w:color w:val="00B0F0"/>
        </w:rPr>
        <w:t>]</w:t>
      </w:r>
    </w:p>
    <w:p w14:paraId="0D1D3CB3" w14:textId="77777777" w:rsidR="005C744A" w:rsidRPr="00083168" w:rsidRDefault="005C744A" w:rsidP="001B6B13">
      <w:pPr>
        <w:spacing w:after="0" w:line="240" w:lineRule="auto"/>
        <w:ind w:left="720"/>
        <w:rPr>
          <w:rFonts w:eastAsia="Times New Roman" w:cstheme="minorHAnsi"/>
          <w:color w:val="333333"/>
        </w:rPr>
      </w:pPr>
    </w:p>
    <w:p w14:paraId="23777746" w14:textId="77777777" w:rsidR="00ED4FE1" w:rsidRDefault="00ED4FE1" w:rsidP="00ED4FE1">
      <w:pPr>
        <w:widowControl w:val="0"/>
        <w:autoSpaceDE w:val="0"/>
        <w:autoSpaceDN w:val="0"/>
        <w:adjustRightInd w:val="0"/>
        <w:spacing w:after="0" w:line="239" w:lineRule="auto"/>
        <w:ind w:left="360" w:right="720"/>
        <w:rPr>
          <w:rFonts w:cs="Calibri"/>
        </w:rPr>
      </w:pPr>
      <w:r w:rsidRPr="0036247C">
        <w:rPr>
          <w:rFonts w:cs="Calibri"/>
          <w:b/>
        </w:rPr>
        <w:t>Ad</w:t>
      </w:r>
      <w:r>
        <w:rPr>
          <w:rFonts w:cs="Calibri"/>
          <w:b/>
        </w:rPr>
        <w:t>ditional Roles and Responsibilities</w:t>
      </w:r>
      <w:r>
        <w:rPr>
          <w:rFonts w:cs="Calibri"/>
        </w:rPr>
        <w:tab/>
      </w:r>
      <w:r>
        <w:rPr>
          <w:rFonts w:cs="Calibri"/>
        </w:rPr>
        <w:tab/>
      </w:r>
      <w:r w:rsidRPr="0026204C">
        <w:rPr>
          <w:rFonts w:cs="Calibri"/>
          <w:b/>
        </w:rPr>
        <w:t xml:space="preserve"> </w:t>
      </w:r>
      <w:sdt>
        <w:sdtPr>
          <w:rPr>
            <w:rFonts w:cs="Calibri"/>
            <w:b/>
          </w:rPr>
          <w:id w:val="-932126386"/>
          <w14:checkbox>
            <w14:checked w14:val="0"/>
            <w14:checkedState w14:val="2612" w14:font="MS Gothic"/>
            <w14:uncheckedState w14:val="2610" w14:font="MS Gothic"/>
          </w14:checkbox>
        </w:sdtPr>
        <w:sdtEndPr/>
        <w:sdtContent>
          <w:r w:rsidRPr="0026204C">
            <w:rPr>
              <w:rFonts w:ascii="MS Gothic" w:eastAsia="MS Gothic" w:hAnsi="MS Gothic" w:cs="Calibri" w:hint="eastAsia"/>
              <w:b/>
            </w:rPr>
            <w:t>☐</w:t>
          </w:r>
        </w:sdtContent>
      </w:sdt>
      <w:r w:rsidRPr="0026204C">
        <w:rPr>
          <w:rFonts w:cs="Calibri"/>
          <w:b/>
        </w:rPr>
        <w:t xml:space="preserve"> N/A</w:t>
      </w:r>
    </w:p>
    <w:p w14:paraId="39277592" w14:textId="77777777" w:rsidR="00ED4FE1" w:rsidRDefault="00ED4FE1" w:rsidP="00ED4FE1">
      <w:pPr>
        <w:widowControl w:val="0"/>
        <w:autoSpaceDE w:val="0"/>
        <w:autoSpaceDN w:val="0"/>
        <w:adjustRightInd w:val="0"/>
        <w:spacing w:after="0" w:line="239" w:lineRule="auto"/>
        <w:ind w:left="360" w:right="720"/>
        <w:rPr>
          <w:rFonts w:cs="Calibri"/>
          <w:b/>
        </w:rPr>
      </w:pPr>
      <w:r w:rsidRPr="00B9043B">
        <w:rPr>
          <w:rFonts w:cs="Calibri"/>
          <w:b/>
        </w:rPr>
        <w:t>(MANDATORY LANGUAGE)</w:t>
      </w:r>
    </w:p>
    <w:p w14:paraId="39D64445" w14:textId="77777777" w:rsidR="00ED4FE1" w:rsidRPr="008D5E59" w:rsidRDefault="00ED4FE1" w:rsidP="00ED4FE1">
      <w:pPr>
        <w:widowControl w:val="0"/>
        <w:autoSpaceDE w:val="0"/>
        <w:autoSpaceDN w:val="0"/>
        <w:adjustRightInd w:val="0"/>
        <w:spacing w:after="0" w:line="240" w:lineRule="auto"/>
        <w:ind w:right="720"/>
        <w:rPr>
          <w:rFonts w:cs="Calibri"/>
          <w:color w:val="00B0F0"/>
        </w:rPr>
      </w:pPr>
    </w:p>
    <w:p w14:paraId="6C05E9EC" w14:textId="0A7A0210" w:rsidR="00ED4FE1" w:rsidRDefault="00ED4FE1" w:rsidP="00ED4FE1">
      <w:pPr>
        <w:widowControl w:val="0"/>
        <w:autoSpaceDE w:val="0"/>
        <w:autoSpaceDN w:val="0"/>
        <w:adjustRightInd w:val="0"/>
        <w:spacing w:after="0" w:line="240" w:lineRule="auto"/>
        <w:ind w:left="360" w:right="720"/>
        <w:rPr>
          <w:rFonts w:cs="Calibri"/>
          <w:i/>
          <w:color w:val="00B0F0"/>
        </w:rPr>
      </w:pPr>
      <w:r w:rsidRPr="0024775D">
        <w:rPr>
          <w:rFonts w:cs="Calibri"/>
          <w:i/>
          <w:color w:val="00B0F0"/>
        </w:rPr>
        <w:t xml:space="preserve">[Optional: Insert any additional role(s) and responsibilities that apply to this </w:t>
      </w:r>
      <w:r w:rsidR="005362E2">
        <w:rPr>
          <w:rFonts w:cs="Calibri"/>
          <w:i/>
          <w:color w:val="00B0F0"/>
        </w:rPr>
        <w:t>SPG</w:t>
      </w:r>
      <w:r w:rsidRPr="0024775D">
        <w:rPr>
          <w:rFonts w:cs="Calibri"/>
          <w:i/>
          <w:color w:val="00B0F0"/>
        </w:rPr>
        <w:t>]</w:t>
      </w:r>
    </w:p>
    <w:p w14:paraId="39EC014A" w14:textId="77777777" w:rsidR="00ED4FE1" w:rsidRDefault="00ED4FE1" w:rsidP="00ED4FE1">
      <w:pPr>
        <w:widowControl w:val="0"/>
        <w:autoSpaceDE w:val="0"/>
        <w:autoSpaceDN w:val="0"/>
        <w:adjustRightInd w:val="0"/>
        <w:spacing w:after="0" w:line="240" w:lineRule="auto"/>
        <w:ind w:left="360" w:right="720"/>
        <w:rPr>
          <w:rFonts w:cs="Calibri"/>
          <w:color w:val="00B0F0"/>
        </w:rPr>
      </w:pPr>
    </w:p>
    <w:p w14:paraId="44B898FD" w14:textId="655DCE0C" w:rsidR="004A3CC5" w:rsidRPr="001163CC" w:rsidRDefault="001956F1" w:rsidP="001163CC">
      <w:pPr>
        <w:pStyle w:val="ListParagraph"/>
        <w:numPr>
          <w:ilvl w:val="0"/>
          <w:numId w:val="10"/>
        </w:numPr>
        <w:spacing w:after="0" w:line="240" w:lineRule="auto"/>
        <w:ind w:right="-20"/>
        <w:rPr>
          <w:rFonts w:ascii="Calibri" w:eastAsia="Calibri" w:hAnsi="Calibri" w:cs="Calibri"/>
          <w:b/>
          <w:bCs/>
        </w:rPr>
      </w:pPr>
      <w:r w:rsidRPr="001956F1">
        <w:rPr>
          <w:b/>
        </w:rPr>
        <w:t>PROCEDURE</w:t>
      </w:r>
    </w:p>
    <w:p w14:paraId="17D996DE" w14:textId="77777777" w:rsidR="003043DF" w:rsidRDefault="003043DF" w:rsidP="001163CC">
      <w:pPr>
        <w:pStyle w:val="tabletext"/>
        <w:spacing w:before="0"/>
        <w:rPr>
          <w:rFonts w:asciiTheme="minorHAnsi" w:hAnsiTheme="minorHAnsi"/>
          <w:b/>
          <w:sz w:val="22"/>
          <w:szCs w:val="22"/>
        </w:rPr>
      </w:pPr>
    </w:p>
    <w:p w14:paraId="117D7CB9" w14:textId="378B876A" w:rsidR="003043DF" w:rsidRDefault="00B02E30" w:rsidP="004A3CC5">
      <w:pPr>
        <w:pStyle w:val="tabletext"/>
        <w:spacing w:before="0"/>
        <w:ind w:left="270" w:firstLine="90"/>
        <w:rPr>
          <w:rFonts w:asciiTheme="minorHAnsi" w:hAnsiTheme="minorHAnsi" w:cstheme="minorHAnsi"/>
          <w:b/>
          <w:sz w:val="22"/>
          <w:szCs w:val="22"/>
        </w:rPr>
      </w:pPr>
      <w:r>
        <w:rPr>
          <w:rFonts w:asciiTheme="minorHAnsi" w:hAnsiTheme="minorHAnsi" w:cstheme="minorHAnsi"/>
          <w:b/>
          <w:sz w:val="22"/>
          <w:szCs w:val="22"/>
        </w:rPr>
        <w:t>Protocol Non</w:t>
      </w:r>
      <w:r w:rsidR="003043DF">
        <w:rPr>
          <w:rFonts w:asciiTheme="minorHAnsi" w:hAnsiTheme="minorHAnsi" w:cstheme="minorHAnsi"/>
          <w:b/>
          <w:sz w:val="22"/>
          <w:szCs w:val="22"/>
        </w:rPr>
        <w:t>compliance</w:t>
      </w:r>
    </w:p>
    <w:p w14:paraId="43BB95F9" w14:textId="772A4FB9" w:rsidR="003043DF" w:rsidRPr="00CE56F1" w:rsidRDefault="003043DF" w:rsidP="00D46F79">
      <w:pPr>
        <w:pStyle w:val="tabletext"/>
        <w:spacing w:before="0"/>
        <w:ind w:left="360"/>
        <w:rPr>
          <w:rFonts w:asciiTheme="minorHAnsi" w:hAnsiTheme="minorHAnsi" w:cstheme="minorHAnsi"/>
          <w:i/>
          <w:color w:val="00B0F0"/>
          <w:sz w:val="22"/>
          <w:szCs w:val="22"/>
        </w:rPr>
      </w:pPr>
      <w:r w:rsidRPr="00CE56F1">
        <w:rPr>
          <w:rFonts w:asciiTheme="minorHAnsi" w:hAnsiTheme="minorHAnsi" w:cstheme="minorHAnsi"/>
          <w:i/>
          <w:color w:val="00B0F0"/>
          <w:sz w:val="22"/>
          <w:szCs w:val="22"/>
        </w:rPr>
        <w:t>[Describe the process for communicating, documentin</w:t>
      </w:r>
      <w:r w:rsidR="00873CE3" w:rsidRPr="00CE56F1">
        <w:rPr>
          <w:rFonts w:asciiTheme="minorHAnsi" w:hAnsiTheme="minorHAnsi" w:cstheme="minorHAnsi"/>
          <w:i/>
          <w:color w:val="00B0F0"/>
          <w:sz w:val="22"/>
          <w:szCs w:val="22"/>
        </w:rPr>
        <w:t xml:space="preserve">g, and reporting identified </w:t>
      </w:r>
      <w:r w:rsidR="00CC45AE" w:rsidRPr="00CC45AE">
        <w:rPr>
          <w:rFonts w:asciiTheme="minorHAnsi" w:hAnsiTheme="minorHAnsi" w:cstheme="minorHAnsi"/>
          <w:i/>
          <w:color w:val="00B0F0"/>
          <w:sz w:val="22"/>
          <w:szCs w:val="22"/>
        </w:rPr>
        <w:t xml:space="preserve">protocol </w:t>
      </w:r>
      <w:r w:rsidR="00873CE3" w:rsidRPr="00CE56F1">
        <w:rPr>
          <w:rFonts w:asciiTheme="minorHAnsi" w:hAnsiTheme="minorHAnsi" w:cstheme="minorHAnsi"/>
          <w:i/>
          <w:color w:val="00B0F0"/>
          <w:sz w:val="22"/>
          <w:szCs w:val="22"/>
        </w:rPr>
        <w:t>non</w:t>
      </w:r>
      <w:r w:rsidRPr="00CE56F1">
        <w:rPr>
          <w:rFonts w:asciiTheme="minorHAnsi" w:hAnsiTheme="minorHAnsi" w:cstheme="minorHAnsi"/>
          <w:i/>
          <w:color w:val="00B0F0"/>
          <w:sz w:val="22"/>
          <w:szCs w:val="22"/>
        </w:rPr>
        <w:t>compliance. This may include processes for (re)education of study staff and participants, completion of protocol deviation records, and reporting to Sponsor, IRB and/or other oversight committees.]</w:t>
      </w:r>
    </w:p>
    <w:p w14:paraId="1AAEECB5" w14:textId="77777777" w:rsidR="003043DF" w:rsidRDefault="003043DF" w:rsidP="004A3CC5">
      <w:pPr>
        <w:pStyle w:val="tabletext"/>
        <w:spacing w:before="0"/>
        <w:ind w:left="270" w:firstLine="90"/>
        <w:rPr>
          <w:rFonts w:asciiTheme="minorHAnsi" w:hAnsiTheme="minorHAnsi" w:cstheme="minorHAnsi"/>
          <w:b/>
          <w:sz w:val="22"/>
          <w:szCs w:val="22"/>
        </w:rPr>
      </w:pPr>
    </w:p>
    <w:p w14:paraId="30851C12" w14:textId="3B669A47" w:rsidR="003043DF" w:rsidRPr="004D171F" w:rsidRDefault="005362E2" w:rsidP="00EC1511">
      <w:pPr>
        <w:pStyle w:val="tabletext"/>
        <w:spacing w:before="0"/>
        <w:ind w:left="360"/>
        <w:rPr>
          <w:rFonts w:asciiTheme="minorHAnsi" w:hAnsiTheme="minorHAnsi" w:cstheme="minorHAnsi"/>
          <w:b/>
          <w:sz w:val="22"/>
          <w:szCs w:val="22"/>
        </w:rPr>
      </w:pPr>
      <w:r>
        <w:rPr>
          <w:rFonts w:asciiTheme="minorHAnsi" w:hAnsiTheme="minorHAnsi" w:cstheme="minorHAnsi"/>
          <w:b/>
          <w:sz w:val="22"/>
          <w:szCs w:val="22"/>
        </w:rPr>
        <w:t>Standard Practice Guideline</w:t>
      </w:r>
      <w:r w:rsidR="008D1B33">
        <w:rPr>
          <w:rFonts w:asciiTheme="minorHAnsi" w:hAnsiTheme="minorHAnsi" w:cstheme="minorHAnsi"/>
          <w:b/>
          <w:sz w:val="22"/>
          <w:szCs w:val="22"/>
        </w:rPr>
        <w:t xml:space="preserve"> (</w:t>
      </w:r>
      <w:r>
        <w:rPr>
          <w:rFonts w:asciiTheme="minorHAnsi" w:hAnsiTheme="minorHAnsi" w:cstheme="minorHAnsi"/>
          <w:b/>
          <w:sz w:val="22"/>
          <w:szCs w:val="22"/>
        </w:rPr>
        <w:t>SPG</w:t>
      </w:r>
      <w:r w:rsidR="008D1B33">
        <w:rPr>
          <w:rFonts w:asciiTheme="minorHAnsi" w:hAnsiTheme="minorHAnsi" w:cstheme="minorHAnsi"/>
          <w:b/>
          <w:sz w:val="22"/>
          <w:szCs w:val="22"/>
        </w:rPr>
        <w:t>)</w:t>
      </w:r>
      <w:r w:rsidR="00B02E30">
        <w:rPr>
          <w:rFonts w:asciiTheme="minorHAnsi" w:hAnsiTheme="minorHAnsi" w:cstheme="minorHAnsi"/>
          <w:b/>
          <w:sz w:val="22"/>
          <w:szCs w:val="22"/>
        </w:rPr>
        <w:t xml:space="preserve"> Non</w:t>
      </w:r>
      <w:r w:rsidR="003043DF">
        <w:rPr>
          <w:rFonts w:asciiTheme="minorHAnsi" w:hAnsiTheme="minorHAnsi" w:cstheme="minorHAnsi"/>
          <w:b/>
          <w:sz w:val="22"/>
          <w:szCs w:val="22"/>
        </w:rPr>
        <w:t>compliance</w:t>
      </w:r>
    </w:p>
    <w:p w14:paraId="79974F07" w14:textId="37DE52A3" w:rsidR="003043DF" w:rsidRDefault="003043DF" w:rsidP="00EC1511">
      <w:pPr>
        <w:pStyle w:val="tabletext"/>
        <w:spacing w:before="0"/>
        <w:ind w:left="360"/>
        <w:rPr>
          <w:rFonts w:asciiTheme="minorHAnsi" w:hAnsiTheme="minorHAnsi" w:cstheme="minorHAnsi"/>
          <w:i/>
          <w:color w:val="00B0F0"/>
          <w:sz w:val="22"/>
          <w:szCs w:val="22"/>
        </w:rPr>
      </w:pPr>
      <w:r>
        <w:rPr>
          <w:rFonts w:asciiTheme="minorHAnsi" w:hAnsiTheme="minorHAnsi" w:cstheme="minorHAnsi"/>
          <w:i/>
          <w:color w:val="00B0F0"/>
          <w:sz w:val="22"/>
          <w:szCs w:val="22"/>
        </w:rPr>
        <w:t>[D</w:t>
      </w:r>
      <w:r w:rsidRPr="008F10A5">
        <w:rPr>
          <w:rFonts w:asciiTheme="minorHAnsi" w:hAnsiTheme="minorHAnsi" w:cstheme="minorHAnsi"/>
          <w:i/>
          <w:color w:val="00B0F0"/>
          <w:sz w:val="22"/>
          <w:szCs w:val="22"/>
        </w:rPr>
        <w:t xml:space="preserve">escribe the process for </w:t>
      </w:r>
      <w:r>
        <w:rPr>
          <w:rFonts w:asciiTheme="minorHAnsi" w:hAnsiTheme="minorHAnsi" w:cstheme="minorHAnsi"/>
          <w:i/>
          <w:color w:val="00B0F0"/>
          <w:sz w:val="22"/>
          <w:szCs w:val="22"/>
        </w:rPr>
        <w:t>communicating, documentin</w:t>
      </w:r>
      <w:r w:rsidR="00873CE3">
        <w:rPr>
          <w:rFonts w:asciiTheme="minorHAnsi" w:hAnsiTheme="minorHAnsi" w:cstheme="minorHAnsi"/>
          <w:i/>
          <w:color w:val="00B0F0"/>
          <w:sz w:val="22"/>
          <w:szCs w:val="22"/>
        </w:rPr>
        <w:t>g, and reporting identified non</w:t>
      </w:r>
      <w:r>
        <w:rPr>
          <w:rFonts w:asciiTheme="minorHAnsi" w:hAnsiTheme="minorHAnsi" w:cstheme="minorHAnsi"/>
          <w:i/>
          <w:color w:val="00B0F0"/>
          <w:sz w:val="22"/>
          <w:szCs w:val="22"/>
        </w:rPr>
        <w:t xml:space="preserve">compliance with site </w:t>
      </w:r>
      <w:r w:rsidR="005362E2">
        <w:rPr>
          <w:rFonts w:asciiTheme="minorHAnsi" w:hAnsiTheme="minorHAnsi" w:cstheme="minorHAnsi"/>
          <w:i/>
          <w:color w:val="00B0F0"/>
          <w:sz w:val="22"/>
          <w:szCs w:val="22"/>
        </w:rPr>
        <w:t>SPG</w:t>
      </w:r>
      <w:r>
        <w:rPr>
          <w:rFonts w:asciiTheme="minorHAnsi" w:hAnsiTheme="minorHAnsi" w:cstheme="minorHAnsi"/>
          <w:i/>
          <w:color w:val="00B0F0"/>
          <w:sz w:val="22"/>
          <w:szCs w:val="22"/>
        </w:rPr>
        <w:t xml:space="preserve">s. This may include processes for (re)education of </w:t>
      </w:r>
      <w:r w:rsidR="00087D50">
        <w:rPr>
          <w:rFonts w:asciiTheme="minorHAnsi" w:hAnsiTheme="minorHAnsi" w:cstheme="minorHAnsi"/>
          <w:i/>
          <w:color w:val="00B0F0"/>
          <w:sz w:val="22"/>
          <w:szCs w:val="22"/>
        </w:rPr>
        <w:t>staff,</w:t>
      </w:r>
      <w:r>
        <w:rPr>
          <w:rFonts w:asciiTheme="minorHAnsi" w:hAnsiTheme="minorHAnsi" w:cstheme="minorHAnsi"/>
          <w:i/>
          <w:color w:val="00B0F0"/>
          <w:sz w:val="22"/>
          <w:szCs w:val="22"/>
        </w:rPr>
        <w:t xml:space="preserve"> completion of a corrective action plan, and/or amending current </w:t>
      </w:r>
      <w:r w:rsidR="005362E2">
        <w:rPr>
          <w:rFonts w:asciiTheme="minorHAnsi" w:hAnsiTheme="minorHAnsi" w:cstheme="minorHAnsi"/>
          <w:i/>
          <w:color w:val="00B0F0"/>
          <w:sz w:val="22"/>
          <w:szCs w:val="22"/>
        </w:rPr>
        <w:t>SPG</w:t>
      </w:r>
      <w:r>
        <w:rPr>
          <w:rFonts w:asciiTheme="minorHAnsi" w:hAnsiTheme="minorHAnsi" w:cstheme="minorHAnsi"/>
          <w:i/>
          <w:color w:val="00B0F0"/>
          <w:sz w:val="22"/>
          <w:szCs w:val="22"/>
        </w:rPr>
        <w:t>s.]</w:t>
      </w:r>
    </w:p>
    <w:p w14:paraId="5DC5C954" w14:textId="77777777" w:rsidR="00331682" w:rsidRDefault="00331682" w:rsidP="00ED4FE1">
      <w:pPr>
        <w:widowControl w:val="0"/>
        <w:autoSpaceDE w:val="0"/>
        <w:autoSpaceDN w:val="0"/>
        <w:adjustRightInd w:val="0"/>
        <w:spacing w:after="0" w:line="239" w:lineRule="auto"/>
        <w:ind w:left="360" w:right="720"/>
      </w:pPr>
    </w:p>
    <w:p w14:paraId="50069570" w14:textId="279FC8EC" w:rsidR="005362E2" w:rsidRDefault="005362E2" w:rsidP="00ED4FE1">
      <w:pPr>
        <w:widowControl w:val="0"/>
        <w:autoSpaceDE w:val="0"/>
        <w:autoSpaceDN w:val="0"/>
        <w:adjustRightInd w:val="0"/>
        <w:spacing w:after="0" w:line="239" w:lineRule="auto"/>
        <w:ind w:left="360" w:right="720"/>
        <w:rPr>
          <w:b/>
        </w:rPr>
      </w:pPr>
      <w:r w:rsidRPr="00972A57">
        <w:rPr>
          <w:b/>
        </w:rPr>
        <w:t>Regulatory Noncompliance</w:t>
      </w:r>
    </w:p>
    <w:p w14:paraId="7B0AD37A" w14:textId="665042AF" w:rsidR="005362E2" w:rsidRPr="00CE56F1" w:rsidRDefault="005362E2" w:rsidP="005362E2">
      <w:pPr>
        <w:pStyle w:val="tabletext"/>
        <w:spacing w:before="0"/>
        <w:ind w:left="360"/>
        <w:rPr>
          <w:rFonts w:asciiTheme="minorHAnsi" w:hAnsiTheme="minorHAnsi" w:cstheme="minorHAnsi"/>
          <w:i/>
          <w:color w:val="00B0F0"/>
          <w:sz w:val="22"/>
          <w:szCs w:val="22"/>
        </w:rPr>
      </w:pPr>
      <w:r w:rsidRPr="00CE56F1">
        <w:rPr>
          <w:rFonts w:asciiTheme="minorHAnsi" w:hAnsiTheme="minorHAnsi" w:cstheme="minorHAnsi"/>
          <w:i/>
          <w:color w:val="00B0F0"/>
          <w:sz w:val="22"/>
          <w:szCs w:val="22"/>
        </w:rPr>
        <w:t xml:space="preserve">[Describe the process for communicating, documenting, and reporting identified </w:t>
      </w:r>
      <w:r>
        <w:rPr>
          <w:rFonts w:asciiTheme="minorHAnsi" w:hAnsiTheme="minorHAnsi" w:cstheme="minorHAnsi"/>
          <w:i/>
          <w:color w:val="00B0F0"/>
          <w:sz w:val="22"/>
          <w:szCs w:val="22"/>
        </w:rPr>
        <w:t>regulatory</w:t>
      </w:r>
      <w:r w:rsidRPr="00CC45AE">
        <w:rPr>
          <w:rFonts w:asciiTheme="minorHAnsi" w:hAnsiTheme="minorHAnsi" w:cstheme="minorHAnsi"/>
          <w:i/>
          <w:color w:val="00B0F0"/>
          <w:sz w:val="22"/>
          <w:szCs w:val="22"/>
        </w:rPr>
        <w:t xml:space="preserve"> </w:t>
      </w:r>
      <w:r w:rsidRPr="00CE56F1">
        <w:rPr>
          <w:rFonts w:asciiTheme="minorHAnsi" w:hAnsiTheme="minorHAnsi" w:cstheme="minorHAnsi"/>
          <w:i/>
          <w:color w:val="00B0F0"/>
          <w:sz w:val="22"/>
          <w:szCs w:val="22"/>
        </w:rPr>
        <w:t>noncompliance. This may include processes for (re)education of study staff and participants, completion of protocol deviation records, and reporting to Sponsor, IRB and/or other oversight committees.]</w:t>
      </w:r>
    </w:p>
    <w:p w14:paraId="6E2684FF" w14:textId="77777777" w:rsidR="005362E2" w:rsidRPr="00972A57" w:rsidRDefault="005362E2" w:rsidP="00ED4FE1">
      <w:pPr>
        <w:widowControl w:val="0"/>
        <w:autoSpaceDE w:val="0"/>
        <w:autoSpaceDN w:val="0"/>
        <w:adjustRightInd w:val="0"/>
        <w:spacing w:after="0" w:line="239" w:lineRule="auto"/>
        <w:ind w:left="360" w:right="720"/>
        <w:rPr>
          <w:b/>
        </w:rPr>
      </w:pPr>
    </w:p>
    <w:p w14:paraId="4B402026" w14:textId="73E50761" w:rsidR="00D74BBD" w:rsidRDefault="008D1B33" w:rsidP="00EC1511">
      <w:pPr>
        <w:pStyle w:val="tabletext"/>
        <w:spacing w:before="0"/>
        <w:ind w:left="360"/>
        <w:rPr>
          <w:rFonts w:asciiTheme="minorHAnsi" w:hAnsiTheme="minorHAnsi"/>
          <w:b/>
          <w:sz w:val="22"/>
          <w:szCs w:val="22"/>
        </w:rPr>
      </w:pPr>
      <w:r>
        <w:rPr>
          <w:rFonts w:asciiTheme="minorHAnsi" w:hAnsiTheme="minorHAnsi"/>
          <w:b/>
          <w:sz w:val="22"/>
          <w:szCs w:val="22"/>
        </w:rPr>
        <w:t>E</w:t>
      </w:r>
      <w:r w:rsidR="00D74BBD">
        <w:rPr>
          <w:rFonts w:asciiTheme="minorHAnsi" w:hAnsiTheme="minorHAnsi"/>
          <w:b/>
          <w:sz w:val="22"/>
          <w:szCs w:val="22"/>
        </w:rPr>
        <w:t xml:space="preserve">scalation of </w:t>
      </w:r>
      <w:r w:rsidR="00BD089B">
        <w:rPr>
          <w:rFonts w:asciiTheme="minorHAnsi" w:hAnsiTheme="minorHAnsi"/>
          <w:b/>
          <w:sz w:val="22"/>
          <w:szCs w:val="22"/>
        </w:rPr>
        <w:t>I</w:t>
      </w:r>
      <w:r w:rsidR="00D74BBD">
        <w:rPr>
          <w:rFonts w:asciiTheme="minorHAnsi" w:hAnsiTheme="minorHAnsi"/>
          <w:b/>
          <w:sz w:val="22"/>
          <w:szCs w:val="22"/>
        </w:rPr>
        <w:t>dentifie</w:t>
      </w:r>
      <w:r>
        <w:rPr>
          <w:rFonts w:asciiTheme="minorHAnsi" w:hAnsiTheme="minorHAnsi"/>
          <w:b/>
          <w:sz w:val="22"/>
          <w:szCs w:val="22"/>
        </w:rPr>
        <w:t>d</w:t>
      </w:r>
      <w:r w:rsidR="00CE56F1">
        <w:rPr>
          <w:rFonts w:asciiTheme="minorHAnsi" w:hAnsiTheme="minorHAnsi"/>
          <w:b/>
          <w:sz w:val="22"/>
          <w:szCs w:val="22"/>
        </w:rPr>
        <w:t xml:space="preserve"> </w:t>
      </w:r>
      <w:r>
        <w:rPr>
          <w:rFonts w:asciiTheme="minorHAnsi" w:hAnsiTheme="minorHAnsi"/>
          <w:b/>
          <w:sz w:val="22"/>
          <w:szCs w:val="22"/>
        </w:rPr>
        <w:t>N</w:t>
      </w:r>
      <w:r w:rsidR="00D74BBD">
        <w:rPr>
          <w:rFonts w:asciiTheme="minorHAnsi" w:hAnsiTheme="minorHAnsi"/>
          <w:b/>
          <w:sz w:val="22"/>
          <w:szCs w:val="22"/>
        </w:rPr>
        <w:t>on</w:t>
      </w:r>
      <w:r w:rsidR="00D74BBD" w:rsidRPr="004D171F">
        <w:rPr>
          <w:rFonts w:asciiTheme="minorHAnsi" w:hAnsiTheme="minorHAnsi"/>
          <w:b/>
          <w:sz w:val="22"/>
          <w:szCs w:val="22"/>
        </w:rPr>
        <w:t>compliance</w:t>
      </w:r>
      <w:r>
        <w:rPr>
          <w:rFonts w:asciiTheme="minorHAnsi" w:hAnsiTheme="minorHAnsi"/>
          <w:b/>
          <w:sz w:val="22"/>
          <w:szCs w:val="22"/>
        </w:rPr>
        <w:t xml:space="preserve"> </w:t>
      </w:r>
      <w:r w:rsidR="00BD089B">
        <w:rPr>
          <w:rFonts w:asciiTheme="minorHAnsi" w:hAnsiTheme="minorHAnsi"/>
          <w:b/>
          <w:sz w:val="22"/>
          <w:szCs w:val="22"/>
        </w:rPr>
        <w:t>I</w:t>
      </w:r>
      <w:r>
        <w:rPr>
          <w:rFonts w:asciiTheme="minorHAnsi" w:hAnsiTheme="minorHAnsi"/>
          <w:b/>
          <w:sz w:val="22"/>
          <w:szCs w:val="22"/>
        </w:rPr>
        <w:t>ssues</w:t>
      </w:r>
    </w:p>
    <w:p w14:paraId="08B7A2E7" w14:textId="3A27046D" w:rsidR="00AF6161" w:rsidRDefault="00AF6161" w:rsidP="00EC1511">
      <w:pPr>
        <w:pStyle w:val="tabletext"/>
        <w:spacing w:before="0"/>
        <w:ind w:left="360"/>
        <w:rPr>
          <w:rFonts w:asciiTheme="minorHAnsi" w:hAnsiTheme="minorHAnsi" w:cstheme="minorHAnsi"/>
          <w:i/>
          <w:color w:val="00B0F0"/>
          <w:sz w:val="22"/>
          <w:szCs w:val="22"/>
        </w:rPr>
      </w:pPr>
      <w:r>
        <w:rPr>
          <w:rFonts w:asciiTheme="minorHAnsi" w:hAnsiTheme="minorHAnsi" w:cstheme="minorHAnsi"/>
          <w:i/>
          <w:color w:val="00B0F0"/>
          <w:sz w:val="22"/>
          <w:szCs w:val="22"/>
        </w:rPr>
        <w:t>[D</w:t>
      </w:r>
      <w:r w:rsidRPr="008F10A5">
        <w:rPr>
          <w:rFonts w:asciiTheme="minorHAnsi" w:hAnsiTheme="minorHAnsi" w:cstheme="minorHAnsi"/>
          <w:i/>
          <w:color w:val="00B0F0"/>
          <w:sz w:val="22"/>
          <w:szCs w:val="22"/>
        </w:rPr>
        <w:t xml:space="preserve">escribe the process for </w:t>
      </w:r>
      <w:r w:rsidR="00873CE3">
        <w:rPr>
          <w:rFonts w:asciiTheme="minorHAnsi" w:hAnsiTheme="minorHAnsi" w:cstheme="minorHAnsi"/>
          <w:i/>
          <w:color w:val="00B0F0"/>
          <w:sz w:val="22"/>
          <w:szCs w:val="22"/>
        </w:rPr>
        <w:t>escalating identified continuing noncompliance and serious noncompliance</w:t>
      </w:r>
      <w:r>
        <w:rPr>
          <w:rFonts w:asciiTheme="minorHAnsi" w:hAnsiTheme="minorHAnsi" w:cstheme="minorHAnsi"/>
          <w:i/>
          <w:color w:val="00B0F0"/>
          <w:sz w:val="22"/>
          <w:szCs w:val="22"/>
        </w:rPr>
        <w:t>.</w:t>
      </w:r>
      <w:r w:rsidR="00CE56F1">
        <w:rPr>
          <w:rFonts w:asciiTheme="minorHAnsi" w:hAnsiTheme="minorHAnsi" w:cstheme="minorHAnsi"/>
          <w:i/>
          <w:color w:val="00B0F0"/>
          <w:sz w:val="22"/>
          <w:szCs w:val="22"/>
        </w:rPr>
        <w:t xml:space="preserve"> This may include d</w:t>
      </w:r>
      <w:r w:rsidR="00004DF2">
        <w:rPr>
          <w:rFonts w:asciiTheme="minorHAnsi" w:hAnsiTheme="minorHAnsi" w:cstheme="minorHAnsi"/>
          <w:i/>
          <w:color w:val="00B0F0"/>
          <w:sz w:val="22"/>
          <w:szCs w:val="22"/>
        </w:rPr>
        <w:t xml:space="preserve">ocumentation, remediation, </w:t>
      </w:r>
      <w:r w:rsidR="00CC45AE">
        <w:rPr>
          <w:rFonts w:asciiTheme="minorHAnsi" w:hAnsiTheme="minorHAnsi" w:cstheme="minorHAnsi"/>
          <w:i/>
          <w:color w:val="00B0F0"/>
          <w:sz w:val="22"/>
          <w:szCs w:val="22"/>
        </w:rPr>
        <w:t>and reporting</w:t>
      </w:r>
      <w:r w:rsidR="00004DF2">
        <w:rPr>
          <w:rFonts w:asciiTheme="minorHAnsi" w:hAnsiTheme="minorHAnsi" w:cstheme="minorHAnsi"/>
          <w:i/>
          <w:color w:val="00B0F0"/>
          <w:sz w:val="22"/>
          <w:szCs w:val="22"/>
        </w:rPr>
        <w:t xml:space="preserve">, </w:t>
      </w:r>
      <w:r w:rsidR="00CE56F1">
        <w:rPr>
          <w:rFonts w:asciiTheme="minorHAnsi" w:hAnsiTheme="minorHAnsi" w:cstheme="minorHAnsi"/>
          <w:i/>
          <w:color w:val="00B0F0"/>
          <w:sz w:val="22"/>
          <w:szCs w:val="22"/>
        </w:rPr>
        <w:t>to the appropriate study team member, regulatory bodies, etc.</w:t>
      </w:r>
      <w:r>
        <w:rPr>
          <w:rFonts w:asciiTheme="minorHAnsi" w:hAnsiTheme="minorHAnsi" w:cstheme="minorHAnsi"/>
          <w:i/>
          <w:color w:val="00B0F0"/>
          <w:sz w:val="22"/>
          <w:szCs w:val="22"/>
        </w:rPr>
        <w:t>]</w:t>
      </w:r>
    </w:p>
    <w:p w14:paraId="28FD9D37" w14:textId="77777777" w:rsidR="001163CC" w:rsidRDefault="001163CC" w:rsidP="00D74BBD">
      <w:pPr>
        <w:pStyle w:val="tabletext"/>
        <w:spacing w:before="0"/>
        <w:ind w:left="270" w:firstLine="90"/>
        <w:rPr>
          <w:rFonts w:asciiTheme="minorHAnsi" w:hAnsiTheme="minorHAnsi"/>
          <w:b/>
          <w:sz w:val="22"/>
          <w:szCs w:val="22"/>
        </w:rPr>
      </w:pPr>
    </w:p>
    <w:p w14:paraId="07C98398" w14:textId="77777777" w:rsidR="00ED4FE1" w:rsidRDefault="00ED4FE1" w:rsidP="00ED4FE1">
      <w:pPr>
        <w:widowControl w:val="0"/>
        <w:autoSpaceDE w:val="0"/>
        <w:autoSpaceDN w:val="0"/>
        <w:adjustRightInd w:val="0"/>
        <w:spacing w:after="0" w:line="239" w:lineRule="auto"/>
        <w:ind w:left="360" w:right="720"/>
        <w:rPr>
          <w:rFonts w:cs="Calibri"/>
          <w:b/>
        </w:rPr>
      </w:pPr>
      <w:r>
        <w:rPr>
          <w:b/>
        </w:rPr>
        <w:t xml:space="preserve">Additional </w:t>
      </w:r>
      <w:r w:rsidRPr="00741EAA">
        <w:rPr>
          <w:b/>
        </w:rPr>
        <w:t>Procedures</w:t>
      </w:r>
      <w:r>
        <w:rPr>
          <w:rFonts w:cs="Calibri"/>
        </w:rPr>
        <w:tab/>
      </w:r>
      <w:r>
        <w:rPr>
          <w:rFonts w:cs="Calibri"/>
        </w:rPr>
        <w:tab/>
      </w:r>
      <w:sdt>
        <w:sdtPr>
          <w:rPr>
            <w:rFonts w:cs="Calibri"/>
            <w:b/>
          </w:rPr>
          <w:id w:val="1584957525"/>
          <w14:checkbox>
            <w14:checked w14:val="0"/>
            <w14:checkedState w14:val="2612" w14:font="MS Gothic"/>
            <w14:uncheckedState w14:val="2610" w14:font="MS Gothic"/>
          </w14:checkbox>
        </w:sdtPr>
        <w:sdtEndPr/>
        <w:sdtContent>
          <w:r w:rsidRPr="0026204C">
            <w:rPr>
              <w:rFonts w:ascii="MS Gothic" w:eastAsia="MS Gothic" w:hAnsi="MS Gothic" w:cs="Calibri" w:hint="eastAsia"/>
              <w:b/>
            </w:rPr>
            <w:t>☐</w:t>
          </w:r>
        </w:sdtContent>
      </w:sdt>
      <w:r w:rsidRPr="0026204C">
        <w:rPr>
          <w:rFonts w:cs="Calibri"/>
          <w:b/>
        </w:rPr>
        <w:t xml:space="preserve"> N/A</w:t>
      </w:r>
      <w:r>
        <w:rPr>
          <w:rFonts w:cs="Calibri"/>
          <w:b/>
        </w:rPr>
        <w:t xml:space="preserve"> </w:t>
      </w:r>
    </w:p>
    <w:p w14:paraId="58CA1D28" w14:textId="77777777" w:rsidR="00331682" w:rsidRPr="008D5E59" w:rsidRDefault="00331682" w:rsidP="00ED4FE1">
      <w:pPr>
        <w:widowControl w:val="0"/>
        <w:autoSpaceDE w:val="0"/>
        <w:autoSpaceDN w:val="0"/>
        <w:adjustRightInd w:val="0"/>
        <w:spacing w:after="0" w:line="239" w:lineRule="auto"/>
        <w:ind w:left="360" w:right="720"/>
        <w:rPr>
          <w:rFonts w:cs="Calibri"/>
        </w:rPr>
      </w:pPr>
    </w:p>
    <w:p w14:paraId="5CCD778C" w14:textId="77777777" w:rsidR="00ED4FE1" w:rsidRPr="00B068E2" w:rsidRDefault="00ED4FE1" w:rsidP="00E10D13">
      <w:pPr>
        <w:widowControl w:val="0"/>
        <w:autoSpaceDE w:val="0"/>
        <w:autoSpaceDN w:val="0"/>
        <w:adjustRightInd w:val="0"/>
        <w:spacing w:after="0" w:line="239" w:lineRule="auto"/>
        <w:ind w:left="360" w:right="720"/>
        <w:rPr>
          <w:b/>
          <w:i/>
        </w:rPr>
      </w:pPr>
      <w:r w:rsidRPr="00B068E2">
        <w:rPr>
          <w:i/>
          <w:color w:val="00B0F0"/>
        </w:rPr>
        <w:t>[</w:t>
      </w:r>
      <w:r>
        <w:rPr>
          <w:i/>
          <w:color w:val="00B0F0"/>
        </w:rPr>
        <w:t>Optional: Insert</w:t>
      </w:r>
      <w:r w:rsidRPr="00B068E2">
        <w:rPr>
          <w:i/>
          <w:color w:val="00B0F0"/>
        </w:rPr>
        <w:t xml:space="preserve"> any additional relevant </w:t>
      </w:r>
      <w:r>
        <w:rPr>
          <w:i/>
          <w:color w:val="00B0F0"/>
        </w:rPr>
        <w:t>procedures. Provide enough detail to ensure the procedure is consistently carried out, without providing so much detail that violations occur due to normal or expected variations in the work.</w:t>
      </w:r>
      <w:r w:rsidRPr="00B068E2">
        <w:rPr>
          <w:i/>
          <w:color w:val="00B0F0"/>
        </w:rPr>
        <w:t>]</w:t>
      </w:r>
    </w:p>
    <w:p w14:paraId="517024E7" w14:textId="77777777" w:rsidR="002225F1" w:rsidRPr="00D76F19" w:rsidRDefault="002225F1" w:rsidP="002F447E">
      <w:pPr>
        <w:spacing w:after="0" w:line="240" w:lineRule="auto"/>
        <w:ind w:right="-20"/>
        <w:rPr>
          <w:rFonts w:eastAsia="Times New Roman" w:cstheme="minorHAnsi"/>
        </w:rPr>
      </w:pPr>
    </w:p>
    <w:p w14:paraId="56449319" w14:textId="77777777" w:rsidR="0086304B" w:rsidRPr="001956F1" w:rsidRDefault="0086304B" w:rsidP="001956F1">
      <w:pPr>
        <w:pStyle w:val="ListParagraph"/>
        <w:numPr>
          <w:ilvl w:val="0"/>
          <w:numId w:val="10"/>
        </w:numPr>
        <w:spacing w:after="0" w:line="240" w:lineRule="auto"/>
        <w:rPr>
          <w:b/>
        </w:rPr>
      </w:pPr>
      <w:r w:rsidRPr="001956F1">
        <w:rPr>
          <w:rFonts w:ascii="Calibri" w:eastAsia="Calibri" w:hAnsi="Calibri" w:cs="Calibri"/>
          <w:b/>
          <w:bCs/>
        </w:rPr>
        <w:t>REFER</w:t>
      </w:r>
      <w:r w:rsidRPr="001956F1">
        <w:rPr>
          <w:rFonts w:ascii="Calibri" w:eastAsia="Calibri" w:hAnsi="Calibri" w:cs="Calibri"/>
          <w:b/>
          <w:bCs/>
          <w:spacing w:val="-2"/>
        </w:rPr>
        <w:t>E</w:t>
      </w:r>
      <w:r w:rsidRPr="001956F1">
        <w:rPr>
          <w:rFonts w:ascii="Calibri" w:eastAsia="Calibri" w:hAnsi="Calibri" w:cs="Calibri"/>
          <w:b/>
          <w:bCs/>
          <w:spacing w:val="1"/>
        </w:rPr>
        <w:t>NC</w:t>
      </w:r>
      <w:r w:rsidRPr="001956F1">
        <w:rPr>
          <w:rFonts w:ascii="Calibri" w:eastAsia="Calibri" w:hAnsi="Calibri" w:cs="Calibri"/>
          <w:b/>
          <w:bCs/>
        </w:rPr>
        <w:t>ES</w:t>
      </w:r>
    </w:p>
    <w:p w14:paraId="1FCC167A" w14:textId="77777777" w:rsidR="0030562E" w:rsidRDefault="0030562E" w:rsidP="005D688B">
      <w:pPr>
        <w:spacing w:after="0" w:line="240" w:lineRule="auto"/>
        <w:ind w:right="-20"/>
        <w:rPr>
          <w:rFonts w:ascii="Calibri" w:eastAsia="Calibri" w:hAnsi="Calibri" w:cs="Calibri"/>
          <w:spacing w:val="-1"/>
        </w:rPr>
      </w:pPr>
    </w:p>
    <w:p w14:paraId="7D0BE5EF" w14:textId="732B04DC" w:rsidR="00EE5062" w:rsidRPr="00CC45AE" w:rsidRDefault="00EE5062" w:rsidP="00EE5062">
      <w:pPr>
        <w:pStyle w:val="ListParagraph"/>
        <w:spacing w:after="0"/>
        <w:ind w:left="360" w:right="720"/>
      </w:pPr>
      <w:r w:rsidRPr="00CC45AE">
        <w:t xml:space="preserve">FDA </w:t>
      </w:r>
      <w:r w:rsidR="002850B3" w:rsidRPr="00CC45AE">
        <w:t>-</w:t>
      </w:r>
      <w:r w:rsidR="004E4BC6">
        <w:t xml:space="preserve">Title 21 Subpart C </w:t>
      </w:r>
      <w:r w:rsidR="002850B3" w:rsidRPr="00CC45AE">
        <w:t>- IRB Functions and Operations:</w:t>
      </w:r>
    </w:p>
    <w:p w14:paraId="658F61AC" w14:textId="2481C3DE" w:rsidR="005A067E" w:rsidRDefault="00F749E0" w:rsidP="00CC45AE">
      <w:pPr>
        <w:spacing w:after="0" w:line="240" w:lineRule="auto"/>
        <w:ind w:left="360" w:right="-20"/>
      </w:pPr>
      <w:hyperlink r:id="rId13" w:history="1">
        <w:r w:rsidR="005A067E" w:rsidRPr="005A067E">
          <w:rPr>
            <w:rStyle w:val="Hyperlink"/>
          </w:rPr>
          <w:t>http://www.ecfr.gov/cgi-bin/retrieveECFR?gp=1&amp;SID=5b79c575275c2aa91f15b79964501546&amp;ty=HTML&amp;h=L&amp;mc=true&amp;n=sp21.1.56.c&amp;r=SUBPART</w:t>
        </w:r>
      </w:hyperlink>
    </w:p>
    <w:p w14:paraId="3557E865" w14:textId="533D1592" w:rsidR="00CC3197" w:rsidRDefault="00CC3197" w:rsidP="00BB3C4A">
      <w:pPr>
        <w:spacing w:after="0" w:line="240" w:lineRule="auto"/>
        <w:ind w:right="936"/>
        <w:rPr>
          <w:rFonts w:cstheme="minorHAnsi"/>
          <w:bCs/>
        </w:rPr>
      </w:pPr>
    </w:p>
    <w:p w14:paraId="4B5B01F5" w14:textId="70B4537C" w:rsidR="00DA2910" w:rsidRPr="00F53AA7" w:rsidRDefault="00DA2910" w:rsidP="00DA2910">
      <w:pPr>
        <w:widowControl w:val="0"/>
        <w:autoSpaceDE w:val="0"/>
        <w:autoSpaceDN w:val="0"/>
        <w:adjustRightInd w:val="0"/>
        <w:spacing w:after="0" w:line="240" w:lineRule="auto"/>
        <w:ind w:left="360" w:right="720"/>
        <w:rPr>
          <w:rFonts w:cstheme="minorHAnsi"/>
        </w:rPr>
      </w:pPr>
      <w:r w:rsidRPr="00F53AA7">
        <w:rPr>
          <w:rFonts w:cstheme="minorHAnsi"/>
        </w:rPr>
        <w:t>FDA</w:t>
      </w:r>
      <w:r>
        <w:rPr>
          <w:rFonts w:cstheme="minorHAnsi"/>
        </w:rPr>
        <w:t xml:space="preserve"> Title 21 </w:t>
      </w:r>
      <w:r w:rsidR="001B4F90">
        <w:rPr>
          <w:rFonts w:cstheme="minorHAnsi"/>
        </w:rPr>
        <w:t>CFR 56.108</w:t>
      </w:r>
      <w:r>
        <w:rPr>
          <w:rFonts w:cstheme="minorHAnsi"/>
        </w:rPr>
        <w:t xml:space="preserve"> - </w:t>
      </w:r>
      <w:r w:rsidRPr="00DA2910">
        <w:rPr>
          <w:rFonts w:cstheme="minorHAnsi"/>
        </w:rPr>
        <w:t>IRB functions and operations</w:t>
      </w:r>
      <w:r>
        <w:rPr>
          <w:rFonts w:cstheme="minorHAnsi"/>
        </w:rPr>
        <w:t>:</w:t>
      </w:r>
      <w:r w:rsidRPr="00F53AA7">
        <w:rPr>
          <w:rFonts w:cstheme="minorHAnsi"/>
        </w:rPr>
        <w:t xml:space="preserve"> </w:t>
      </w:r>
    </w:p>
    <w:p w14:paraId="69715788" w14:textId="0F4808C0" w:rsidR="00DA2910" w:rsidRDefault="00F749E0" w:rsidP="00DA2910">
      <w:pPr>
        <w:spacing w:after="0" w:line="240" w:lineRule="auto"/>
        <w:ind w:left="360" w:right="936"/>
        <w:rPr>
          <w:rFonts w:cstheme="minorHAnsi"/>
          <w:bCs/>
        </w:rPr>
      </w:pPr>
      <w:hyperlink r:id="rId14" w:history="1">
        <w:r w:rsidR="00DA2910" w:rsidRPr="00DA2910">
          <w:rPr>
            <w:rStyle w:val="Hyperlink"/>
            <w:rFonts w:cstheme="minorHAnsi"/>
            <w:bCs/>
          </w:rPr>
          <w:t>http://www.ecfr.gov/cgi-bin/text-idx?SID=d0bff1ef1c16aec48c8637520a7c5fa3&amp;mc=true&amp;node=se21.1.56_1108&amp;rgn=div</w:t>
        </w:r>
        <w:r w:rsidR="00DA2910" w:rsidRPr="00F867BF">
          <w:rPr>
            <w:rStyle w:val="Hyperlink"/>
            <w:rFonts w:cstheme="minorHAnsi"/>
            <w:bCs/>
          </w:rPr>
          <w:t>8</w:t>
        </w:r>
      </w:hyperlink>
    </w:p>
    <w:p w14:paraId="69A59EC9" w14:textId="77777777" w:rsidR="00DA2910" w:rsidRDefault="00DA2910" w:rsidP="00DA2910">
      <w:pPr>
        <w:spacing w:after="0" w:line="240" w:lineRule="auto"/>
        <w:ind w:left="360" w:right="936"/>
        <w:rPr>
          <w:rFonts w:cstheme="minorHAnsi"/>
          <w:bCs/>
        </w:rPr>
      </w:pPr>
    </w:p>
    <w:p w14:paraId="216DC688" w14:textId="2C08AF54" w:rsidR="00CE3053" w:rsidRPr="00FA797C" w:rsidRDefault="00CE3053" w:rsidP="00CE3053">
      <w:pPr>
        <w:widowControl w:val="0"/>
        <w:autoSpaceDE w:val="0"/>
        <w:autoSpaceDN w:val="0"/>
        <w:adjustRightInd w:val="0"/>
        <w:spacing w:after="0" w:line="239" w:lineRule="auto"/>
        <w:ind w:right="720" w:firstLine="360"/>
        <w:rPr>
          <w:rStyle w:val="Hyperlink"/>
          <w:color w:val="auto"/>
          <w:u w:val="none"/>
        </w:rPr>
      </w:pPr>
      <w:r w:rsidRPr="00FA797C">
        <w:rPr>
          <w:rStyle w:val="Hyperlink"/>
          <w:color w:val="auto"/>
          <w:u w:val="none"/>
        </w:rPr>
        <w:t xml:space="preserve">International </w:t>
      </w:r>
      <w:r w:rsidR="00EB1590">
        <w:rPr>
          <w:rStyle w:val="Hyperlink"/>
          <w:color w:val="auto"/>
          <w:u w:val="none"/>
        </w:rPr>
        <w:t>Council</w:t>
      </w:r>
      <w:r w:rsidR="00EB1590" w:rsidRPr="00FA797C">
        <w:rPr>
          <w:rStyle w:val="Hyperlink"/>
          <w:color w:val="auto"/>
          <w:u w:val="none"/>
        </w:rPr>
        <w:t xml:space="preserve"> </w:t>
      </w:r>
      <w:r w:rsidRPr="00FA797C">
        <w:rPr>
          <w:rStyle w:val="Hyperlink"/>
          <w:color w:val="auto"/>
          <w:u w:val="none"/>
        </w:rPr>
        <w:t>on Harmonisation</w:t>
      </w:r>
      <w:r w:rsidR="004E6F95" w:rsidRPr="00FA797C">
        <w:rPr>
          <w:rStyle w:val="Hyperlink"/>
          <w:color w:val="auto"/>
          <w:u w:val="none"/>
        </w:rPr>
        <w:t xml:space="preserve"> (ICH)</w:t>
      </w:r>
      <w:r w:rsidRPr="00FA797C">
        <w:rPr>
          <w:rStyle w:val="Hyperlink"/>
          <w:color w:val="auto"/>
          <w:u w:val="none"/>
        </w:rPr>
        <w:t>:</w:t>
      </w:r>
      <w:r w:rsidR="00312FB6">
        <w:rPr>
          <w:rStyle w:val="Hyperlink"/>
          <w:color w:val="auto"/>
          <w:u w:val="none"/>
        </w:rPr>
        <w:t xml:space="preserve"> </w:t>
      </w:r>
    </w:p>
    <w:p w14:paraId="0B661026" w14:textId="76B4E442" w:rsidR="00CE3053" w:rsidRDefault="00F749E0" w:rsidP="00CE3053">
      <w:pPr>
        <w:widowControl w:val="0"/>
        <w:autoSpaceDE w:val="0"/>
        <w:autoSpaceDN w:val="0"/>
        <w:adjustRightInd w:val="0"/>
        <w:spacing w:after="0" w:line="239" w:lineRule="auto"/>
        <w:ind w:right="720" w:firstLine="360"/>
        <w:rPr>
          <w:rStyle w:val="Hyperlink"/>
        </w:rPr>
      </w:pPr>
      <w:hyperlink r:id="rId15" w:history="1">
        <w:r w:rsidR="00CE3053" w:rsidRPr="00121843">
          <w:rPr>
            <w:rStyle w:val="Hyperlink"/>
          </w:rPr>
          <w:t>http://www.ich.org/</w:t>
        </w:r>
      </w:hyperlink>
    </w:p>
    <w:p w14:paraId="14A59E55" w14:textId="1A093AC1" w:rsidR="002C1841" w:rsidRDefault="00F749E0" w:rsidP="00CE3053">
      <w:pPr>
        <w:widowControl w:val="0"/>
        <w:autoSpaceDE w:val="0"/>
        <w:autoSpaceDN w:val="0"/>
        <w:adjustRightInd w:val="0"/>
        <w:spacing w:after="0" w:line="239" w:lineRule="auto"/>
        <w:ind w:right="720" w:firstLine="360"/>
        <w:rPr>
          <w:rStyle w:val="Hyperlink"/>
        </w:rPr>
      </w:pPr>
      <w:hyperlink r:id="rId16" w:history="1">
        <w:r w:rsidR="00DA3C77" w:rsidRPr="00F84945">
          <w:rPr>
            <w:rStyle w:val="Hyperlink"/>
          </w:rPr>
          <w:t>https://database.ich.org/sites/default/files/E6_R2_Addendum.pdf</w:t>
        </w:r>
      </w:hyperlink>
      <w:r w:rsidR="00DA3C77">
        <w:rPr>
          <w:rStyle w:val="Hyperlink"/>
        </w:rPr>
        <w:t xml:space="preserve"> </w:t>
      </w:r>
    </w:p>
    <w:p w14:paraId="0BEED040" w14:textId="77777777" w:rsidR="00A24FFE" w:rsidRDefault="00A24FFE" w:rsidP="00EA5B06">
      <w:pPr>
        <w:spacing w:after="0" w:line="240" w:lineRule="auto"/>
        <w:ind w:right="936"/>
        <w:rPr>
          <w:rFonts w:cstheme="minorHAnsi"/>
          <w:bCs/>
        </w:rPr>
      </w:pPr>
    </w:p>
    <w:p w14:paraId="087B2C2F" w14:textId="30C28B31" w:rsidR="00E639CC" w:rsidRDefault="00BF1C52" w:rsidP="001B6B13">
      <w:pPr>
        <w:spacing w:after="0" w:line="240" w:lineRule="auto"/>
        <w:ind w:left="360" w:right="936"/>
        <w:rPr>
          <w:rFonts w:cstheme="minorHAnsi"/>
          <w:bCs/>
        </w:rPr>
      </w:pPr>
      <w:r>
        <w:rPr>
          <w:rFonts w:cstheme="minorHAnsi"/>
          <w:bCs/>
        </w:rPr>
        <w:t xml:space="preserve">University of Michigan - </w:t>
      </w:r>
      <w:r w:rsidR="002850B3" w:rsidRPr="002850B3">
        <w:rPr>
          <w:rFonts w:cstheme="minorHAnsi"/>
          <w:bCs/>
        </w:rPr>
        <w:t>Office of Research Compliance Review (ORCR)</w:t>
      </w:r>
      <w:r w:rsidR="002850B3">
        <w:rPr>
          <w:rFonts w:cstheme="minorHAnsi"/>
          <w:bCs/>
        </w:rPr>
        <w:t>:</w:t>
      </w:r>
    </w:p>
    <w:p w14:paraId="785AB11B" w14:textId="77777777" w:rsidR="00E639CC" w:rsidRDefault="00F749E0" w:rsidP="004E2B92">
      <w:pPr>
        <w:spacing w:after="0" w:line="240" w:lineRule="auto"/>
        <w:ind w:right="936" w:firstLine="360"/>
        <w:rPr>
          <w:rFonts w:cstheme="minorHAnsi"/>
          <w:bCs/>
        </w:rPr>
      </w:pPr>
      <w:hyperlink r:id="rId17" w:history="1">
        <w:r w:rsidR="00E639CC" w:rsidRPr="00352EFB">
          <w:rPr>
            <w:rStyle w:val="Hyperlink"/>
            <w:rFonts w:cstheme="minorHAnsi"/>
            <w:bCs/>
          </w:rPr>
          <w:t>http://research-compliance.umich.edu/office-human-research-compliance-review-ohrcr</w:t>
        </w:r>
      </w:hyperlink>
    </w:p>
    <w:p w14:paraId="6BC83556" w14:textId="77777777" w:rsidR="002850B3" w:rsidRDefault="002850B3" w:rsidP="004E2B92">
      <w:pPr>
        <w:spacing w:after="0" w:line="240" w:lineRule="auto"/>
        <w:ind w:right="936" w:firstLine="360"/>
        <w:rPr>
          <w:rFonts w:cstheme="minorHAnsi"/>
          <w:bCs/>
        </w:rPr>
      </w:pPr>
    </w:p>
    <w:p w14:paraId="7BA34BEE" w14:textId="77777777" w:rsidR="004E6F95" w:rsidRDefault="004E6F95" w:rsidP="004E6F95">
      <w:pPr>
        <w:spacing w:after="0" w:line="240" w:lineRule="auto"/>
        <w:ind w:right="-20" w:firstLine="360"/>
        <w:rPr>
          <w:rFonts w:ascii="Calibri" w:eastAsia="Calibri" w:hAnsi="Calibri" w:cs="Calibri"/>
          <w:spacing w:val="-1"/>
        </w:rPr>
      </w:pPr>
      <w:r>
        <w:rPr>
          <w:rFonts w:ascii="Calibri" w:eastAsia="Calibri" w:hAnsi="Calibri" w:cs="Calibri"/>
          <w:spacing w:val="-1"/>
        </w:rPr>
        <w:t>University of Michigan - Operations Manual</w:t>
      </w:r>
      <w:r w:rsidRPr="004E6F95">
        <w:rPr>
          <w:rFonts w:ascii="Calibri" w:eastAsia="Calibri" w:hAnsi="Calibri" w:cs="Calibri"/>
          <w:spacing w:val="-1"/>
        </w:rPr>
        <w:t xml:space="preserve"> - Quality Assurance and Research Compliance</w:t>
      </w:r>
      <w:r>
        <w:rPr>
          <w:rFonts w:ascii="Calibri" w:eastAsia="Calibri" w:hAnsi="Calibri" w:cs="Calibri"/>
          <w:spacing w:val="-1"/>
        </w:rPr>
        <w:t>:</w:t>
      </w:r>
    </w:p>
    <w:p w14:paraId="42A4F02F" w14:textId="77777777" w:rsidR="004E6F95" w:rsidRDefault="00F749E0" w:rsidP="004E6F95">
      <w:pPr>
        <w:spacing w:after="0" w:line="240" w:lineRule="auto"/>
        <w:ind w:left="360" w:right="936"/>
        <w:rPr>
          <w:rFonts w:cstheme="minorHAnsi"/>
          <w:bCs/>
        </w:rPr>
      </w:pPr>
      <w:hyperlink r:id="rId18" w:history="1">
        <w:r w:rsidR="004E6F95" w:rsidRPr="00352EFB">
          <w:rPr>
            <w:rStyle w:val="Hyperlink"/>
            <w:rFonts w:cstheme="minorHAnsi"/>
            <w:bCs/>
          </w:rPr>
          <w:t>http://research-compliance.umich.edu/operations-manual-quality-assurance-and-research-compliance</w:t>
        </w:r>
      </w:hyperlink>
    </w:p>
    <w:p w14:paraId="4C9F0554" w14:textId="77777777" w:rsidR="004E6F95" w:rsidRDefault="004E6F95" w:rsidP="001B6B13">
      <w:pPr>
        <w:spacing w:after="0" w:line="240" w:lineRule="auto"/>
        <w:ind w:left="360" w:right="936"/>
        <w:rPr>
          <w:rFonts w:cstheme="minorHAnsi"/>
          <w:bCs/>
        </w:rPr>
      </w:pPr>
    </w:p>
    <w:p w14:paraId="4A495530" w14:textId="12DDD8D7" w:rsidR="00875ECF" w:rsidRDefault="00875ECF" w:rsidP="001B6B13">
      <w:pPr>
        <w:spacing w:after="0" w:line="240" w:lineRule="auto"/>
        <w:ind w:left="360" w:right="936"/>
        <w:rPr>
          <w:rFonts w:cstheme="minorHAnsi"/>
          <w:bCs/>
        </w:rPr>
      </w:pPr>
      <w:r>
        <w:rPr>
          <w:rFonts w:cstheme="minorHAnsi"/>
          <w:bCs/>
        </w:rPr>
        <w:t>University of Michigan</w:t>
      </w:r>
      <w:r w:rsidR="002850B3">
        <w:rPr>
          <w:rFonts w:cstheme="minorHAnsi"/>
          <w:bCs/>
        </w:rPr>
        <w:t xml:space="preserve"> -</w:t>
      </w:r>
      <w:r>
        <w:rPr>
          <w:rFonts w:cstheme="minorHAnsi"/>
          <w:bCs/>
        </w:rPr>
        <w:t xml:space="preserve"> </w:t>
      </w:r>
      <w:r w:rsidR="002850B3" w:rsidRPr="002850B3">
        <w:rPr>
          <w:rFonts w:cstheme="minorHAnsi"/>
          <w:bCs/>
        </w:rPr>
        <w:t>Policy Statement on the Integrity of Scholarship and Procedures for Investigating Allegations of Misconduct in the Pursuit of Scholarship and Research</w:t>
      </w:r>
      <w:r w:rsidR="004E4BC6">
        <w:rPr>
          <w:rFonts w:cstheme="minorHAnsi"/>
          <w:bCs/>
        </w:rPr>
        <w:t>:</w:t>
      </w:r>
    </w:p>
    <w:p w14:paraId="7A56005B" w14:textId="77777777" w:rsidR="00875ECF" w:rsidRDefault="00F749E0" w:rsidP="004E2B92">
      <w:pPr>
        <w:spacing w:after="0" w:line="240" w:lineRule="auto"/>
        <w:ind w:right="936" w:firstLine="360"/>
        <w:rPr>
          <w:rStyle w:val="Hyperlink"/>
          <w:rFonts w:cstheme="minorHAnsi"/>
          <w:bCs/>
        </w:rPr>
      </w:pPr>
      <w:hyperlink r:id="rId19" w:history="1">
        <w:r w:rsidR="00875ECF" w:rsidRPr="00352EFB">
          <w:rPr>
            <w:rStyle w:val="Hyperlink"/>
            <w:rFonts w:cstheme="minorHAnsi"/>
            <w:bCs/>
          </w:rPr>
          <w:t>http://spg.umich.edu/policy/303.03</w:t>
        </w:r>
      </w:hyperlink>
    </w:p>
    <w:p w14:paraId="3393482C" w14:textId="77777777" w:rsidR="00D3133C" w:rsidRDefault="00D3133C" w:rsidP="00D3133C">
      <w:pPr>
        <w:spacing w:after="0"/>
        <w:ind w:right="936" w:firstLine="360"/>
        <w:rPr>
          <w:rFonts w:cs="Arial"/>
        </w:rPr>
      </w:pPr>
      <w:r w:rsidRPr="001C50F2">
        <w:rPr>
          <w:rFonts w:cs="Arial"/>
        </w:rPr>
        <w:t>(</w:t>
      </w:r>
      <w:r w:rsidRPr="001C50F2">
        <w:rPr>
          <w:rFonts w:cs="Arial"/>
          <w:b/>
        </w:rPr>
        <w:t>MANDATORY LANGUAGE</w:t>
      </w:r>
      <w:r w:rsidRPr="001C50F2">
        <w:rPr>
          <w:rFonts w:cs="Arial"/>
        </w:rPr>
        <w:t>)</w:t>
      </w:r>
    </w:p>
    <w:p w14:paraId="6F25F7A8" w14:textId="77777777" w:rsidR="00D3133C" w:rsidRDefault="00D3133C" w:rsidP="004E2B92">
      <w:pPr>
        <w:spacing w:after="0" w:line="240" w:lineRule="auto"/>
        <w:ind w:right="936" w:firstLine="360"/>
        <w:rPr>
          <w:rStyle w:val="Hyperlink"/>
          <w:rFonts w:cstheme="minorHAnsi"/>
          <w:bCs/>
        </w:rPr>
      </w:pPr>
    </w:p>
    <w:p w14:paraId="295A41CF" w14:textId="2DA3BE9D" w:rsidR="00331682" w:rsidRDefault="00331682" w:rsidP="00331682">
      <w:pPr>
        <w:widowControl w:val="0"/>
        <w:autoSpaceDE w:val="0"/>
        <w:autoSpaceDN w:val="0"/>
        <w:adjustRightInd w:val="0"/>
        <w:spacing w:after="0" w:line="240" w:lineRule="auto"/>
        <w:ind w:left="360" w:right="720"/>
        <w:rPr>
          <w:rFonts w:cs="Calibri"/>
          <w:i/>
          <w:color w:val="00B0F0"/>
        </w:rPr>
      </w:pPr>
      <w:r w:rsidRPr="0024775D">
        <w:rPr>
          <w:rFonts w:cs="Calibri"/>
          <w:i/>
          <w:color w:val="00B0F0"/>
        </w:rPr>
        <w:t xml:space="preserve">[Optional: Insert </w:t>
      </w:r>
      <w:r>
        <w:rPr>
          <w:rFonts w:cs="Calibri"/>
          <w:i/>
          <w:color w:val="00B0F0"/>
        </w:rPr>
        <w:t xml:space="preserve">any </w:t>
      </w:r>
      <w:r w:rsidRPr="0024775D">
        <w:rPr>
          <w:rFonts w:cs="Calibri"/>
          <w:i/>
          <w:color w:val="00B0F0"/>
        </w:rPr>
        <w:t xml:space="preserve">additional </w:t>
      </w:r>
      <w:r w:rsidR="005362E2">
        <w:rPr>
          <w:rFonts w:cs="Calibri"/>
          <w:i/>
          <w:color w:val="00B0F0"/>
        </w:rPr>
        <w:t>SPG</w:t>
      </w:r>
      <w:r>
        <w:rPr>
          <w:rFonts w:cs="Calibri"/>
          <w:i/>
          <w:color w:val="00B0F0"/>
        </w:rPr>
        <w:t xml:space="preserve"> </w:t>
      </w:r>
      <w:r w:rsidRPr="0024775D">
        <w:rPr>
          <w:rFonts w:cs="Calibri"/>
          <w:i/>
          <w:color w:val="00B0F0"/>
        </w:rPr>
        <w:t>references]</w:t>
      </w:r>
    </w:p>
    <w:p w14:paraId="517333C6" w14:textId="77777777" w:rsidR="006E3890" w:rsidRDefault="006E3890" w:rsidP="00331682">
      <w:pPr>
        <w:widowControl w:val="0"/>
        <w:autoSpaceDE w:val="0"/>
        <w:autoSpaceDN w:val="0"/>
        <w:adjustRightInd w:val="0"/>
        <w:spacing w:after="0" w:line="240" w:lineRule="auto"/>
        <w:ind w:left="360" w:right="720"/>
        <w:rPr>
          <w:rFonts w:cs="Calibri"/>
          <w:i/>
          <w:color w:val="00B0F0"/>
        </w:rPr>
      </w:pPr>
    </w:p>
    <w:p w14:paraId="069B7719" w14:textId="77777777" w:rsidR="0086304B" w:rsidRPr="003308A3" w:rsidRDefault="003308A3" w:rsidP="003308A3">
      <w:pPr>
        <w:pStyle w:val="ListParagraph"/>
        <w:numPr>
          <w:ilvl w:val="0"/>
          <w:numId w:val="10"/>
        </w:numPr>
        <w:spacing w:after="0" w:line="240" w:lineRule="auto"/>
        <w:ind w:right="-20"/>
        <w:rPr>
          <w:rFonts w:ascii="Calibri" w:eastAsia="Calibri" w:hAnsi="Calibri" w:cs="Calibri"/>
          <w:b/>
          <w:bCs/>
        </w:rPr>
      </w:pPr>
      <w:r w:rsidRPr="003308A3">
        <w:rPr>
          <w:rFonts w:ascii="Calibri" w:eastAsia="Calibri" w:hAnsi="Calibri" w:cs="Calibri"/>
          <w:b/>
          <w:bCs/>
        </w:rPr>
        <w:t>A</w:t>
      </w:r>
      <w:r w:rsidR="0086304B" w:rsidRPr="003308A3">
        <w:rPr>
          <w:rFonts w:ascii="Calibri" w:eastAsia="Calibri" w:hAnsi="Calibri" w:cs="Calibri"/>
          <w:b/>
          <w:bCs/>
        </w:rPr>
        <w:t>PP</w:t>
      </w:r>
      <w:r w:rsidR="0086304B" w:rsidRPr="003308A3">
        <w:rPr>
          <w:rFonts w:ascii="Calibri" w:eastAsia="Calibri" w:hAnsi="Calibri" w:cs="Calibri"/>
          <w:b/>
          <w:bCs/>
          <w:spacing w:val="-2"/>
        </w:rPr>
        <w:t>E</w:t>
      </w:r>
      <w:r w:rsidR="0086304B" w:rsidRPr="003308A3">
        <w:rPr>
          <w:rFonts w:ascii="Calibri" w:eastAsia="Calibri" w:hAnsi="Calibri" w:cs="Calibri"/>
          <w:b/>
          <w:bCs/>
          <w:spacing w:val="1"/>
        </w:rPr>
        <w:t>N</w:t>
      </w:r>
      <w:r w:rsidR="0086304B" w:rsidRPr="003308A3">
        <w:rPr>
          <w:rFonts w:ascii="Calibri" w:eastAsia="Calibri" w:hAnsi="Calibri" w:cs="Calibri"/>
          <w:b/>
          <w:bCs/>
          <w:spacing w:val="-2"/>
        </w:rPr>
        <w:t>D</w:t>
      </w:r>
      <w:r w:rsidR="0086304B" w:rsidRPr="003308A3">
        <w:rPr>
          <w:rFonts w:ascii="Calibri" w:eastAsia="Calibri" w:hAnsi="Calibri" w:cs="Calibri"/>
          <w:b/>
          <w:bCs/>
          <w:spacing w:val="1"/>
        </w:rPr>
        <w:t>IC</w:t>
      </w:r>
      <w:r w:rsidR="0086304B" w:rsidRPr="003308A3">
        <w:rPr>
          <w:rFonts w:ascii="Calibri" w:eastAsia="Calibri" w:hAnsi="Calibri" w:cs="Calibri"/>
          <w:b/>
          <w:bCs/>
        </w:rPr>
        <w:t>ES</w:t>
      </w:r>
    </w:p>
    <w:p w14:paraId="1534A5D8" w14:textId="77777777" w:rsidR="00E54A87" w:rsidRPr="001C50F2" w:rsidRDefault="00E54A87" w:rsidP="00E54A87">
      <w:pPr>
        <w:spacing w:after="0" w:line="240" w:lineRule="auto"/>
        <w:ind w:left="360" w:right="936"/>
        <w:rPr>
          <w:rFonts w:ascii="Calibri" w:eastAsia="Calibri" w:hAnsi="Calibri" w:cs="Calibri"/>
        </w:rPr>
      </w:pPr>
      <w:r w:rsidRPr="001C50F2">
        <w:rPr>
          <w:rFonts w:cs="Arial"/>
        </w:rPr>
        <w:t>(</w:t>
      </w:r>
      <w:r w:rsidRPr="001C50F2">
        <w:rPr>
          <w:rFonts w:cs="Arial"/>
          <w:b/>
        </w:rPr>
        <w:t>MANDATORY LANGUAGE</w:t>
      </w:r>
      <w:r w:rsidRPr="001C50F2">
        <w:rPr>
          <w:rFonts w:cs="Arial"/>
        </w:rPr>
        <w:t>)</w:t>
      </w:r>
    </w:p>
    <w:p w14:paraId="1FCB05F2" w14:textId="77777777" w:rsidR="00885D3E" w:rsidRDefault="003308A3" w:rsidP="003308A3">
      <w:pPr>
        <w:tabs>
          <w:tab w:val="left" w:pos="3210"/>
        </w:tabs>
        <w:spacing w:after="0" w:line="240" w:lineRule="auto"/>
        <w:ind w:right="-20"/>
        <w:rPr>
          <w:rFonts w:ascii="Calibri" w:eastAsia="Calibri" w:hAnsi="Calibri" w:cs="Calibri"/>
          <w:bCs/>
        </w:rPr>
      </w:pPr>
      <w:r>
        <w:rPr>
          <w:rFonts w:ascii="Calibri" w:eastAsia="Calibri" w:hAnsi="Calibri" w:cs="Calibri"/>
          <w:bCs/>
        </w:rPr>
        <w:tab/>
      </w:r>
    </w:p>
    <w:p w14:paraId="4AAFCA6A" w14:textId="7DD45AA8" w:rsidR="003308A3" w:rsidRPr="008D5E59" w:rsidRDefault="003308A3" w:rsidP="00C832B5">
      <w:pPr>
        <w:widowControl w:val="0"/>
        <w:autoSpaceDE w:val="0"/>
        <w:autoSpaceDN w:val="0"/>
        <w:adjustRightInd w:val="0"/>
        <w:spacing w:after="0" w:line="240" w:lineRule="auto"/>
        <w:ind w:left="360" w:right="720"/>
        <w:rPr>
          <w:rFonts w:ascii="Calibri" w:eastAsia="Calibri" w:hAnsi="Calibri" w:cs="Calibri"/>
          <w:bCs/>
        </w:rPr>
      </w:pPr>
      <w:r w:rsidRPr="0024775D">
        <w:rPr>
          <w:rFonts w:cs="Calibri"/>
          <w:i/>
          <w:color w:val="00B0F0"/>
        </w:rPr>
        <w:t xml:space="preserve">[Optional: Insert </w:t>
      </w:r>
      <w:r>
        <w:rPr>
          <w:rFonts w:cs="Calibri"/>
          <w:i/>
          <w:color w:val="00B0F0"/>
        </w:rPr>
        <w:t xml:space="preserve">any </w:t>
      </w:r>
      <w:r w:rsidRPr="0024775D">
        <w:rPr>
          <w:rFonts w:cs="Calibri"/>
          <w:i/>
          <w:color w:val="00B0F0"/>
        </w:rPr>
        <w:t xml:space="preserve">additional </w:t>
      </w:r>
      <w:r w:rsidR="005362E2">
        <w:rPr>
          <w:rFonts w:cs="Calibri"/>
          <w:i/>
          <w:color w:val="00B0F0"/>
        </w:rPr>
        <w:t>SPG</w:t>
      </w:r>
      <w:r>
        <w:rPr>
          <w:rFonts w:cs="Calibri"/>
          <w:i/>
          <w:color w:val="00B0F0"/>
        </w:rPr>
        <w:t xml:space="preserve"> appendice</w:t>
      </w:r>
      <w:r w:rsidRPr="0024775D">
        <w:rPr>
          <w:rFonts w:cs="Calibri"/>
          <w:i/>
          <w:color w:val="00B0F0"/>
        </w:rPr>
        <w:t>s]</w:t>
      </w:r>
    </w:p>
    <w:p w14:paraId="54F51282" w14:textId="4AA73106" w:rsidR="0086304B" w:rsidRPr="00DD46A7" w:rsidRDefault="0086304B" w:rsidP="00D00471">
      <w:pPr>
        <w:spacing w:after="0" w:line="240" w:lineRule="auto"/>
        <w:ind w:left="360" w:right="-20"/>
        <w:rPr>
          <w:rFonts w:ascii="Calibri" w:eastAsia="Calibri" w:hAnsi="Calibri" w:cs="Calibri"/>
          <w:b/>
          <w:bCs/>
        </w:rPr>
      </w:pPr>
    </w:p>
    <w:sectPr w:rsidR="0086304B" w:rsidRPr="00DD46A7" w:rsidSect="00371943">
      <w:headerReference w:type="default" r:id="rId20"/>
      <w:footerReference w:type="default" r:id="rId21"/>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3358" w14:textId="77777777" w:rsidR="00821A5C" w:rsidRDefault="00821A5C" w:rsidP="00D10980">
      <w:pPr>
        <w:spacing w:after="0" w:line="240" w:lineRule="auto"/>
      </w:pPr>
      <w:r>
        <w:separator/>
      </w:r>
    </w:p>
  </w:endnote>
  <w:endnote w:type="continuationSeparator" w:id="0">
    <w:p w14:paraId="47AB6F68" w14:textId="77777777" w:rsidR="00821A5C" w:rsidRDefault="00821A5C" w:rsidP="00D10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112162"/>
      <w:docPartObj>
        <w:docPartGallery w:val="Page Numbers (Bottom of Page)"/>
        <w:docPartUnique/>
      </w:docPartObj>
    </w:sdtPr>
    <w:sdtEndPr/>
    <w:sdtContent>
      <w:sdt>
        <w:sdtPr>
          <w:id w:val="860082579"/>
          <w:docPartObj>
            <w:docPartGallery w:val="Page Numbers (Top of Page)"/>
            <w:docPartUnique/>
          </w:docPartObj>
        </w:sdtPr>
        <w:sdtEndPr/>
        <w:sdtContent>
          <w:p w14:paraId="555B540C" w14:textId="77777777" w:rsidR="00156C52" w:rsidRDefault="00156C52">
            <w:pPr>
              <w:pStyle w:val="Footer"/>
              <w:jc w:val="right"/>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45"/>
              <w:gridCol w:w="355"/>
              <w:gridCol w:w="3943"/>
              <w:gridCol w:w="355"/>
              <w:gridCol w:w="1962"/>
            </w:tblGrid>
            <w:tr w:rsidR="00156C52" w14:paraId="0BBC422B" w14:textId="77777777" w:rsidTr="00B90B49">
              <w:tc>
                <w:tcPr>
                  <w:tcW w:w="2808" w:type="dxa"/>
                  <w:tcBorders>
                    <w:top w:val="nil"/>
                    <w:left w:val="nil"/>
                    <w:bottom w:val="single" w:sz="8" w:space="0" w:color="auto"/>
                    <w:right w:val="nil"/>
                  </w:tcBorders>
                </w:tcPr>
                <w:p w14:paraId="2BB43F08" w14:textId="77777777" w:rsidR="00156C52" w:rsidRDefault="00156C52" w:rsidP="00B90B49">
                  <w:pPr>
                    <w:pStyle w:val="Footer"/>
                    <w:rPr>
                      <w:b/>
                    </w:rPr>
                  </w:pPr>
                </w:p>
                <w:p w14:paraId="3CE2D43F" w14:textId="77777777" w:rsidR="00156C52" w:rsidRPr="00BE1E09" w:rsidRDefault="00156C52" w:rsidP="00B90B49">
                  <w:pPr>
                    <w:pStyle w:val="Footer"/>
                    <w:rPr>
                      <w:b/>
                    </w:rPr>
                  </w:pPr>
                </w:p>
              </w:tc>
              <w:tc>
                <w:tcPr>
                  <w:tcW w:w="360" w:type="dxa"/>
                  <w:tcBorders>
                    <w:top w:val="nil"/>
                    <w:left w:val="nil"/>
                    <w:bottom w:val="nil"/>
                    <w:right w:val="nil"/>
                  </w:tcBorders>
                </w:tcPr>
                <w:p w14:paraId="64F55385" w14:textId="77777777" w:rsidR="00156C52" w:rsidRDefault="00156C52" w:rsidP="00B90B49">
                  <w:pPr>
                    <w:pStyle w:val="Footer"/>
                  </w:pPr>
                </w:p>
              </w:tc>
              <w:tc>
                <w:tcPr>
                  <w:tcW w:w="4050" w:type="dxa"/>
                  <w:tcBorders>
                    <w:top w:val="nil"/>
                    <w:left w:val="nil"/>
                    <w:bottom w:val="single" w:sz="8" w:space="0" w:color="auto"/>
                    <w:right w:val="nil"/>
                  </w:tcBorders>
                </w:tcPr>
                <w:p w14:paraId="3291FEF7" w14:textId="77777777" w:rsidR="00156C52" w:rsidRDefault="00156C52" w:rsidP="00B90B49">
                  <w:pPr>
                    <w:pStyle w:val="Footer"/>
                  </w:pPr>
                </w:p>
              </w:tc>
              <w:tc>
                <w:tcPr>
                  <w:tcW w:w="360" w:type="dxa"/>
                  <w:tcBorders>
                    <w:top w:val="nil"/>
                    <w:left w:val="nil"/>
                    <w:bottom w:val="nil"/>
                    <w:right w:val="nil"/>
                  </w:tcBorders>
                </w:tcPr>
                <w:p w14:paraId="25EF27EB" w14:textId="77777777" w:rsidR="00156C52" w:rsidRDefault="00156C52" w:rsidP="00B90B49">
                  <w:pPr>
                    <w:pStyle w:val="Footer"/>
                  </w:pPr>
                </w:p>
              </w:tc>
              <w:tc>
                <w:tcPr>
                  <w:tcW w:w="1998" w:type="dxa"/>
                  <w:tcBorders>
                    <w:top w:val="nil"/>
                    <w:left w:val="nil"/>
                    <w:bottom w:val="single" w:sz="8" w:space="0" w:color="auto"/>
                    <w:right w:val="nil"/>
                  </w:tcBorders>
                </w:tcPr>
                <w:p w14:paraId="62DB2235" w14:textId="77777777" w:rsidR="00156C52" w:rsidRDefault="00156C52" w:rsidP="00B90B49">
                  <w:pPr>
                    <w:pStyle w:val="Footer"/>
                  </w:pPr>
                </w:p>
              </w:tc>
            </w:tr>
            <w:tr w:rsidR="00156C52" w14:paraId="0793B69E" w14:textId="77777777" w:rsidTr="00B90B49">
              <w:tc>
                <w:tcPr>
                  <w:tcW w:w="2808" w:type="dxa"/>
                  <w:tcBorders>
                    <w:left w:val="nil"/>
                    <w:bottom w:val="nil"/>
                    <w:right w:val="nil"/>
                  </w:tcBorders>
                  <w:vAlign w:val="bottom"/>
                </w:tcPr>
                <w:p w14:paraId="50432936" w14:textId="77777777" w:rsidR="00156C52" w:rsidRPr="00BE1E09" w:rsidRDefault="00156C52" w:rsidP="00B90B49">
                  <w:pPr>
                    <w:pStyle w:val="Footer"/>
                    <w:rPr>
                      <w:b/>
                    </w:rPr>
                  </w:pPr>
                  <w:r>
                    <w:rPr>
                      <w:b/>
                    </w:rPr>
                    <w:t xml:space="preserve">Approver Name    </w:t>
                  </w:r>
                  <w:r w:rsidRPr="00B06E22">
                    <w:rPr>
                      <w:sz w:val="16"/>
                      <w:szCs w:val="16"/>
                    </w:rPr>
                    <w:t>(please print)</w:t>
                  </w:r>
                </w:p>
              </w:tc>
              <w:tc>
                <w:tcPr>
                  <w:tcW w:w="360" w:type="dxa"/>
                  <w:tcBorders>
                    <w:top w:val="nil"/>
                    <w:left w:val="nil"/>
                    <w:bottom w:val="nil"/>
                    <w:right w:val="nil"/>
                  </w:tcBorders>
                </w:tcPr>
                <w:p w14:paraId="3B90E24C" w14:textId="77777777" w:rsidR="00156C52" w:rsidRDefault="00156C52" w:rsidP="00B90B49">
                  <w:pPr>
                    <w:pStyle w:val="Footer"/>
                    <w:rPr>
                      <w:b/>
                    </w:rPr>
                  </w:pPr>
                </w:p>
              </w:tc>
              <w:tc>
                <w:tcPr>
                  <w:tcW w:w="4050" w:type="dxa"/>
                  <w:tcBorders>
                    <w:left w:val="nil"/>
                    <w:bottom w:val="nil"/>
                    <w:right w:val="nil"/>
                  </w:tcBorders>
                  <w:vAlign w:val="bottom"/>
                </w:tcPr>
                <w:p w14:paraId="404643BE" w14:textId="7A9E1F8F" w:rsidR="00156C52" w:rsidRPr="00317315" w:rsidRDefault="00156C52" w:rsidP="00B90B49">
                  <w:pPr>
                    <w:pStyle w:val="Footer"/>
                    <w:rPr>
                      <w:sz w:val="18"/>
                      <w:szCs w:val="18"/>
                    </w:rPr>
                  </w:pPr>
                  <w:r>
                    <w:rPr>
                      <w:b/>
                    </w:rPr>
                    <w:t xml:space="preserve">Approver </w:t>
                  </w:r>
                  <w:r w:rsidRPr="00CE7BB4">
                    <w:rPr>
                      <w:b/>
                    </w:rPr>
                    <w:t>Signature</w:t>
                  </w:r>
                  <w:r>
                    <w:rPr>
                      <w:b/>
                    </w:rPr>
                    <w:t xml:space="preserve">         </w:t>
                  </w:r>
                  <w:r w:rsidRPr="00CE7BB4">
                    <w:rPr>
                      <w:sz w:val="16"/>
                      <w:szCs w:val="16"/>
                    </w:rPr>
                    <w:t>(</w:t>
                  </w:r>
                  <w:r w:rsidRPr="00317315">
                    <w:rPr>
                      <w:sz w:val="16"/>
                      <w:szCs w:val="16"/>
                    </w:rPr>
                    <w:t xml:space="preserve">Required </w:t>
                  </w:r>
                  <w:r>
                    <w:rPr>
                      <w:sz w:val="16"/>
                      <w:szCs w:val="16"/>
                    </w:rPr>
                    <w:t>p</w:t>
                  </w:r>
                  <w:r w:rsidRPr="00317315">
                    <w:rPr>
                      <w:sz w:val="16"/>
                      <w:szCs w:val="16"/>
                    </w:rPr>
                    <w:t>age 1 only)</w:t>
                  </w:r>
                </w:p>
              </w:tc>
              <w:tc>
                <w:tcPr>
                  <w:tcW w:w="360" w:type="dxa"/>
                  <w:tcBorders>
                    <w:top w:val="nil"/>
                    <w:left w:val="nil"/>
                    <w:bottom w:val="nil"/>
                    <w:right w:val="nil"/>
                  </w:tcBorders>
                </w:tcPr>
                <w:p w14:paraId="62A1AA76" w14:textId="77777777" w:rsidR="00156C52" w:rsidRDefault="00156C52" w:rsidP="00B90B49">
                  <w:pPr>
                    <w:pStyle w:val="Footer"/>
                    <w:rPr>
                      <w:sz w:val="18"/>
                      <w:szCs w:val="18"/>
                    </w:rPr>
                  </w:pPr>
                </w:p>
              </w:tc>
              <w:tc>
                <w:tcPr>
                  <w:tcW w:w="1998" w:type="dxa"/>
                  <w:tcBorders>
                    <w:left w:val="nil"/>
                    <w:bottom w:val="nil"/>
                    <w:right w:val="nil"/>
                  </w:tcBorders>
                  <w:vAlign w:val="bottom"/>
                </w:tcPr>
                <w:p w14:paraId="6F1553EB" w14:textId="77777777" w:rsidR="00156C52" w:rsidRDefault="00156C52" w:rsidP="00B90B49">
                  <w:pPr>
                    <w:pStyle w:val="Footer"/>
                    <w:rPr>
                      <w:sz w:val="18"/>
                      <w:szCs w:val="18"/>
                    </w:rPr>
                  </w:pPr>
                </w:p>
                <w:p w14:paraId="20416385" w14:textId="77777777" w:rsidR="00156C52" w:rsidRPr="00CE7BB4" w:rsidRDefault="00156C52" w:rsidP="00B90B49">
                  <w:pPr>
                    <w:pStyle w:val="Footer"/>
                    <w:rPr>
                      <w:b/>
                    </w:rPr>
                  </w:pPr>
                  <w:r w:rsidRPr="00CE7BB4">
                    <w:rPr>
                      <w:b/>
                    </w:rPr>
                    <w:t>Effective Date</w:t>
                  </w:r>
                </w:p>
              </w:tc>
            </w:tr>
          </w:tbl>
          <w:p w14:paraId="48D181F2" w14:textId="77777777" w:rsidR="00156C52" w:rsidRDefault="00156C52" w:rsidP="00A01FA1">
            <w:pPr>
              <w:pStyle w:val="Footer"/>
              <w:jc w:val="right"/>
            </w:pPr>
          </w:p>
          <w:p w14:paraId="287303BF" w14:textId="77777777" w:rsidR="00156C52" w:rsidRDefault="00156C52" w:rsidP="00A01FA1">
            <w:pPr>
              <w:pStyle w:val="Footer"/>
              <w:jc w:val="right"/>
            </w:pPr>
          </w:p>
          <w:p w14:paraId="5F638044" w14:textId="77777777" w:rsidR="00156C52" w:rsidRDefault="00156C52" w:rsidP="00A01FA1">
            <w:pPr>
              <w:pStyle w:val="Footer"/>
              <w:jc w:val="right"/>
            </w:pPr>
          </w:p>
          <w:p w14:paraId="073C8E4B" w14:textId="4DEA4DDD" w:rsidR="00156C52" w:rsidRDefault="00F749E0" w:rsidP="00A01FA1">
            <w:pPr>
              <w:pStyle w:val="Footer"/>
              <w:jc w:val="right"/>
            </w:pPr>
            <w:sdt>
              <w:sdtPr>
                <w:id w:val="371197444"/>
                <w:docPartObj>
                  <w:docPartGallery w:val="Page Numbers (Top of Page)"/>
                  <w:docPartUnique/>
                </w:docPartObj>
              </w:sdtPr>
              <w:sdtEndPr/>
              <w:sdtContent>
                <w:r w:rsidR="00156C52" w:rsidRPr="008527F7">
                  <w:t xml:space="preserve">Page </w:t>
                </w:r>
                <w:r w:rsidR="00156C52" w:rsidRPr="008527F7">
                  <w:rPr>
                    <w:bCs/>
                  </w:rPr>
                  <w:fldChar w:fldCharType="begin"/>
                </w:r>
                <w:r w:rsidR="00156C52" w:rsidRPr="008527F7">
                  <w:rPr>
                    <w:bCs/>
                  </w:rPr>
                  <w:instrText xml:space="preserve"> PAGE </w:instrText>
                </w:r>
                <w:r w:rsidR="00156C52" w:rsidRPr="008527F7">
                  <w:rPr>
                    <w:bCs/>
                  </w:rPr>
                  <w:fldChar w:fldCharType="separate"/>
                </w:r>
                <w:r w:rsidR="00585317">
                  <w:rPr>
                    <w:bCs/>
                    <w:noProof/>
                  </w:rPr>
                  <w:t>1</w:t>
                </w:r>
                <w:r w:rsidR="00156C52" w:rsidRPr="008527F7">
                  <w:rPr>
                    <w:bCs/>
                  </w:rPr>
                  <w:fldChar w:fldCharType="end"/>
                </w:r>
                <w:r w:rsidR="00156C52" w:rsidRPr="008527F7">
                  <w:t xml:space="preserve"> of </w:t>
                </w:r>
                <w:r w:rsidR="00156C52" w:rsidRPr="008527F7">
                  <w:rPr>
                    <w:bCs/>
                  </w:rPr>
                  <w:fldChar w:fldCharType="begin"/>
                </w:r>
                <w:r w:rsidR="00156C52" w:rsidRPr="008527F7">
                  <w:rPr>
                    <w:bCs/>
                  </w:rPr>
                  <w:instrText xml:space="preserve"> NUMPAGES  </w:instrText>
                </w:r>
                <w:r w:rsidR="00156C52" w:rsidRPr="008527F7">
                  <w:rPr>
                    <w:bCs/>
                  </w:rPr>
                  <w:fldChar w:fldCharType="separate"/>
                </w:r>
                <w:r w:rsidR="00585317">
                  <w:rPr>
                    <w:bCs/>
                    <w:noProof/>
                  </w:rPr>
                  <w:t>6</w:t>
                </w:r>
                <w:r w:rsidR="00156C52" w:rsidRPr="008527F7">
                  <w:rPr>
                    <w:bCs/>
                  </w:rPr>
                  <w:fldChar w:fldCharType="end"/>
                </w:r>
              </w:sdtContent>
            </w:sdt>
          </w:p>
        </w:sdtContent>
      </w:sdt>
    </w:sdtContent>
  </w:sdt>
  <w:p w14:paraId="392B81B4" w14:textId="77777777" w:rsidR="00156C52" w:rsidRDefault="0015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B07D" w14:textId="77777777" w:rsidR="00821A5C" w:rsidRDefault="00821A5C" w:rsidP="00D10980">
      <w:pPr>
        <w:spacing w:after="0" w:line="240" w:lineRule="auto"/>
      </w:pPr>
      <w:r>
        <w:separator/>
      </w:r>
    </w:p>
  </w:footnote>
  <w:footnote w:type="continuationSeparator" w:id="0">
    <w:p w14:paraId="0D177CD4" w14:textId="77777777" w:rsidR="00821A5C" w:rsidRDefault="00821A5C" w:rsidP="00D10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05"/>
      <w:gridCol w:w="3463"/>
      <w:gridCol w:w="1678"/>
      <w:gridCol w:w="2284"/>
    </w:tblGrid>
    <w:tr w:rsidR="00156C52" w:rsidRPr="00D11BE1" w14:paraId="5402F80E" w14:textId="77777777" w:rsidTr="00B90B49">
      <w:tc>
        <w:tcPr>
          <w:tcW w:w="1915" w:type="dxa"/>
        </w:tcPr>
        <w:p w14:paraId="53A2BB07" w14:textId="77777777" w:rsidR="00156C52" w:rsidRPr="001205AB" w:rsidRDefault="00156C52" w:rsidP="00D11BE1">
          <w:pPr>
            <w:pStyle w:val="Header"/>
            <w:rPr>
              <w:b/>
            </w:rPr>
          </w:pPr>
          <w:r w:rsidRPr="001205AB">
            <w:rPr>
              <w:b/>
            </w:rPr>
            <w:t>ORGANIZATION:</w:t>
          </w:r>
        </w:p>
      </w:tc>
      <w:tc>
        <w:tcPr>
          <w:tcW w:w="7661" w:type="dxa"/>
          <w:gridSpan w:val="3"/>
        </w:tcPr>
        <w:p w14:paraId="24EDDB4E" w14:textId="61D023FF" w:rsidR="00156C52" w:rsidRPr="001205AB" w:rsidRDefault="00156C52" w:rsidP="00D11BE1">
          <w:pPr>
            <w:pStyle w:val="Header"/>
          </w:pPr>
          <w:r w:rsidRPr="001205AB">
            <w:rPr>
              <w:color w:val="00B0F0"/>
            </w:rPr>
            <w:t xml:space="preserve">[Insert the name of the Organization, Department or Project which owns the </w:t>
          </w:r>
          <w:r w:rsidR="005362E2">
            <w:rPr>
              <w:color w:val="00B0F0"/>
            </w:rPr>
            <w:t>SPG</w:t>
          </w:r>
          <w:r w:rsidRPr="001205AB">
            <w:rPr>
              <w:color w:val="00B0F0"/>
            </w:rPr>
            <w:t>]</w:t>
          </w:r>
        </w:p>
      </w:tc>
    </w:tr>
    <w:tr w:rsidR="00156C52" w:rsidRPr="00D11BE1" w14:paraId="78691E56" w14:textId="77777777" w:rsidTr="00B90B49">
      <w:tc>
        <w:tcPr>
          <w:tcW w:w="1915" w:type="dxa"/>
        </w:tcPr>
        <w:p w14:paraId="10F31E2F" w14:textId="0901D57E" w:rsidR="00156C52" w:rsidRPr="001205AB" w:rsidRDefault="005362E2" w:rsidP="00D11BE1">
          <w:pPr>
            <w:pStyle w:val="Header"/>
            <w:rPr>
              <w:b/>
            </w:rPr>
          </w:pPr>
          <w:r>
            <w:rPr>
              <w:b/>
            </w:rPr>
            <w:t>SPG</w:t>
          </w:r>
          <w:r w:rsidR="00156C52" w:rsidRPr="001205AB">
            <w:rPr>
              <w:b/>
            </w:rPr>
            <w:t xml:space="preserve"> TITLE:</w:t>
          </w:r>
        </w:p>
        <w:p w14:paraId="59D9B688" w14:textId="77777777" w:rsidR="00156C52" w:rsidRPr="001205AB" w:rsidRDefault="00156C52" w:rsidP="00D11BE1">
          <w:pPr>
            <w:pStyle w:val="Header"/>
            <w:rPr>
              <w:b/>
            </w:rPr>
          </w:pPr>
        </w:p>
      </w:tc>
      <w:tc>
        <w:tcPr>
          <w:tcW w:w="7661" w:type="dxa"/>
          <w:gridSpan w:val="3"/>
        </w:tcPr>
        <w:p w14:paraId="103C67DC" w14:textId="4AD055AD" w:rsidR="00156C52" w:rsidRPr="001205AB" w:rsidRDefault="00156C52" w:rsidP="001B6B13">
          <w:pPr>
            <w:pStyle w:val="Header"/>
            <w:rPr>
              <w:b/>
            </w:rPr>
          </w:pPr>
          <w:r>
            <w:rPr>
              <w:b/>
            </w:rPr>
            <w:t>Noncompliance in Clinical Trials</w:t>
          </w:r>
        </w:p>
      </w:tc>
    </w:tr>
    <w:tr w:rsidR="00156C52" w:rsidRPr="00D11BE1" w14:paraId="0B0AB769" w14:textId="77777777" w:rsidTr="00B90B49">
      <w:tc>
        <w:tcPr>
          <w:tcW w:w="1915" w:type="dxa"/>
        </w:tcPr>
        <w:p w14:paraId="73BDCB04" w14:textId="2667ECCF" w:rsidR="00156C52" w:rsidRPr="001205AB" w:rsidRDefault="005362E2" w:rsidP="00D11BE1">
          <w:pPr>
            <w:pStyle w:val="Header"/>
            <w:rPr>
              <w:b/>
            </w:rPr>
          </w:pPr>
          <w:r>
            <w:rPr>
              <w:b/>
            </w:rPr>
            <w:t>SPG</w:t>
          </w:r>
          <w:r w:rsidR="00156C52" w:rsidRPr="001205AB">
            <w:rPr>
              <w:b/>
            </w:rPr>
            <w:t xml:space="preserve"> ID:</w:t>
          </w:r>
        </w:p>
      </w:tc>
      <w:tc>
        <w:tcPr>
          <w:tcW w:w="3593" w:type="dxa"/>
        </w:tcPr>
        <w:p w14:paraId="5322495F" w14:textId="7BF49737" w:rsidR="00156C52" w:rsidRPr="001205AB" w:rsidRDefault="00156C52" w:rsidP="00D11BE1">
          <w:pPr>
            <w:pStyle w:val="Header"/>
          </w:pPr>
          <w:r w:rsidRPr="001205AB">
            <w:rPr>
              <w:color w:val="00B0F0"/>
            </w:rPr>
            <w:t xml:space="preserve">[Insert the </w:t>
          </w:r>
          <w:r w:rsidR="005362E2">
            <w:rPr>
              <w:color w:val="00B0F0"/>
            </w:rPr>
            <w:t>SPG</w:t>
          </w:r>
          <w:r w:rsidRPr="001205AB">
            <w:rPr>
              <w:color w:val="00B0F0"/>
            </w:rPr>
            <w:t xml:space="preserve"> identifier]</w:t>
          </w:r>
        </w:p>
      </w:tc>
      <w:tc>
        <w:tcPr>
          <w:tcW w:w="1710" w:type="dxa"/>
        </w:tcPr>
        <w:p w14:paraId="65659129" w14:textId="715A06E6" w:rsidR="00156C52" w:rsidRPr="001205AB" w:rsidRDefault="005362E2" w:rsidP="00D11BE1">
          <w:pPr>
            <w:pStyle w:val="Header"/>
            <w:rPr>
              <w:b/>
            </w:rPr>
          </w:pPr>
          <w:r>
            <w:rPr>
              <w:b/>
            </w:rPr>
            <w:t>SPG</w:t>
          </w:r>
          <w:r w:rsidR="00156C52" w:rsidRPr="001205AB">
            <w:rPr>
              <w:b/>
            </w:rPr>
            <w:t xml:space="preserve"> VERSION:</w:t>
          </w:r>
        </w:p>
      </w:tc>
      <w:tc>
        <w:tcPr>
          <w:tcW w:w="2358" w:type="dxa"/>
        </w:tcPr>
        <w:p w14:paraId="047EAEF6" w14:textId="25C79161" w:rsidR="00156C52" w:rsidRPr="001205AB" w:rsidRDefault="00156C52" w:rsidP="00D11BE1">
          <w:pPr>
            <w:pStyle w:val="Header"/>
          </w:pPr>
          <w:r w:rsidRPr="001205AB">
            <w:rPr>
              <w:color w:val="00B0F0"/>
            </w:rPr>
            <w:t xml:space="preserve">[Insert the </w:t>
          </w:r>
          <w:r w:rsidR="005362E2">
            <w:rPr>
              <w:color w:val="00B0F0"/>
            </w:rPr>
            <w:t>SPG</w:t>
          </w:r>
          <w:r w:rsidRPr="001205AB">
            <w:rPr>
              <w:color w:val="00B0F0"/>
            </w:rPr>
            <w:t xml:space="preserve"> version]</w:t>
          </w:r>
        </w:p>
      </w:tc>
    </w:tr>
  </w:tbl>
  <w:p w14:paraId="352AF8C8" w14:textId="77777777" w:rsidR="00156C52" w:rsidRDefault="00156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19F679B"/>
    <w:multiLevelType w:val="hybridMultilevel"/>
    <w:tmpl w:val="E3AE2E02"/>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 w15:restartNumberingAfterBreak="0">
    <w:nsid w:val="07766F39"/>
    <w:multiLevelType w:val="hybridMultilevel"/>
    <w:tmpl w:val="6DBC4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D037CA"/>
    <w:multiLevelType w:val="hybridMultilevel"/>
    <w:tmpl w:val="E0361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8F06DB"/>
    <w:multiLevelType w:val="hybridMultilevel"/>
    <w:tmpl w:val="615A442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4" w15:restartNumberingAfterBreak="0">
    <w:nsid w:val="1BCC2769"/>
    <w:multiLevelType w:val="hybridMultilevel"/>
    <w:tmpl w:val="50F41D5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2647CA9"/>
    <w:multiLevelType w:val="hybridMultilevel"/>
    <w:tmpl w:val="67A2467A"/>
    <w:lvl w:ilvl="0" w:tplc="E0524396">
      <w:numFmt w:val="bullet"/>
      <w:lvlText w:val=""/>
      <w:lvlJc w:val="left"/>
      <w:pPr>
        <w:ind w:left="1080" w:hanging="360"/>
      </w:pPr>
      <w:rPr>
        <w:rFonts w:ascii="Symbol" w:eastAsiaTheme="minorEastAsia"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7F140F"/>
    <w:multiLevelType w:val="hybridMultilevel"/>
    <w:tmpl w:val="56F6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83AE6"/>
    <w:multiLevelType w:val="hybridMultilevel"/>
    <w:tmpl w:val="B710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6301E"/>
    <w:multiLevelType w:val="multilevel"/>
    <w:tmpl w:val="3D96FF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BA4717A"/>
    <w:multiLevelType w:val="hybridMultilevel"/>
    <w:tmpl w:val="76F4E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E87F52"/>
    <w:multiLevelType w:val="multilevel"/>
    <w:tmpl w:val="9B2A44C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3D372842"/>
    <w:multiLevelType w:val="multilevel"/>
    <w:tmpl w:val="4FDC3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AA032C"/>
    <w:multiLevelType w:val="hybridMultilevel"/>
    <w:tmpl w:val="9FFAA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EF2756"/>
    <w:multiLevelType w:val="multilevel"/>
    <w:tmpl w:val="A704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B030A5"/>
    <w:multiLevelType w:val="hybridMultilevel"/>
    <w:tmpl w:val="B6A207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FB42CF2"/>
    <w:multiLevelType w:val="hybridMultilevel"/>
    <w:tmpl w:val="023E84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2132022"/>
    <w:multiLevelType w:val="hybridMultilevel"/>
    <w:tmpl w:val="CDA276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6FD0F7E"/>
    <w:multiLevelType w:val="hybridMultilevel"/>
    <w:tmpl w:val="F6A00A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9608824">
    <w:abstractNumId w:val="17"/>
  </w:num>
  <w:num w:numId="2" w16cid:durableId="205609410">
    <w:abstractNumId w:val="1"/>
  </w:num>
  <w:num w:numId="3" w16cid:durableId="1035814784">
    <w:abstractNumId w:val="0"/>
  </w:num>
  <w:num w:numId="4" w16cid:durableId="1119758846">
    <w:abstractNumId w:val="3"/>
  </w:num>
  <w:num w:numId="5" w16cid:durableId="10458346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5517106">
    <w:abstractNumId w:val="14"/>
  </w:num>
  <w:num w:numId="7" w16cid:durableId="1125272588">
    <w:abstractNumId w:val="2"/>
  </w:num>
  <w:num w:numId="8" w16cid:durableId="1407259647">
    <w:abstractNumId w:val="5"/>
  </w:num>
  <w:num w:numId="9" w16cid:durableId="807629976">
    <w:abstractNumId w:val="6"/>
  </w:num>
  <w:num w:numId="10" w16cid:durableId="790128414">
    <w:abstractNumId w:val="15"/>
  </w:num>
  <w:num w:numId="11" w16cid:durableId="838958452">
    <w:abstractNumId w:val="13"/>
  </w:num>
  <w:num w:numId="12" w16cid:durableId="79571698">
    <w:abstractNumId w:val="11"/>
  </w:num>
  <w:num w:numId="13" w16cid:durableId="398291627">
    <w:abstractNumId w:val="8"/>
  </w:num>
  <w:num w:numId="14" w16cid:durableId="982270092">
    <w:abstractNumId w:val="9"/>
  </w:num>
  <w:num w:numId="15" w16cid:durableId="289283523">
    <w:abstractNumId w:val="10"/>
  </w:num>
  <w:num w:numId="16" w16cid:durableId="514224115">
    <w:abstractNumId w:val="4"/>
  </w:num>
  <w:num w:numId="17" w16cid:durableId="2116434352">
    <w:abstractNumId w:val="7"/>
  </w:num>
  <w:num w:numId="18" w16cid:durableId="1210918991">
    <w:abstractNumId w:val="12"/>
  </w:num>
  <w:num w:numId="19" w16cid:durableId="2108482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980"/>
    <w:rsid w:val="000028CB"/>
    <w:rsid w:val="00004DF2"/>
    <w:rsid w:val="0001054B"/>
    <w:rsid w:val="0001265D"/>
    <w:rsid w:val="00012CAC"/>
    <w:rsid w:val="0001585A"/>
    <w:rsid w:val="000235C4"/>
    <w:rsid w:val="00025FF7"/>
    <w:rsid w:val="00032849"/>
    <w:rsid w:val="00036DC7"/>
    <w:rsid w:val="00037618"/>
    <w:rsid w:val="000464C6"/>
    <w:rsid w:val="0005204A"/>
    <w:rsid w:val="000573DF"/>
    <w:rsid w:val="00057C61"/>
    <w:rsid w:val="000648EF"/>
    <w:rsid w:val="0006700B"/>
    <w:rsid w:val="000700CE"/>
    <w:rsid w:val="00070E84"/>
    <w:rsid w:val="0007254B"/>
    <w:rsid w:val="000759A0"/>
    <w:rsid w:val="0008169B"/>
    <w:rsid w:val="00083168"/>
    <w:rsid w:val="00085D0E"/>
    <w:rsid w:val="000864F2"/>
    <w:rsid w:val="00086BDD"/>
    <w:rsid w:val="00087D50"/>
    <w:rsid w:val="000952A6"/>
    <w:rsid w:val="00097479"/>
    <w:rsid w:val="000B39D5"/>
    <w:rsid w:val="000B6B25"/>
    <w:rsid w:val="000C7CC6"/>
    <w:rsid w:val="000D11F6"/>
    <w:rsid w:val="000D17CF"/>
    <w:rsid w:val="000D704F"/>
    <w:rsid w:val="000D712A"/>
    <w:rsid w:val="000E57EA"/>
    <w:rsid w:val="000F1324"/>
    <w:rsid w:val="000F39FD"/>
    <w:rsid w:val="000F6DAE"/>
    <w:rsid w:val="001013E5"/>
    <w:rsid w:val="001136D6"/>
    <w:rsid w:val="001163CC"/>
    <w:rsid w:val="00116FCD"/>
    <w:rsid w:val="001205AB"/>
    <w:rsid w:val="00120CD9"/>
    <w:rsid w:val="00120FAE"/>
    <w:rsid w:val="00121104"/>
    <w:rsid w:val="001235A4"/>
    <w:rsid w:val="00123A09"/>
    <w:rsid w:val="00124FC8"/>
    <w:rsid w:val="00145E74"/>
    <w:rsid w:val="0014734A"/>
    <w:rsid w:val="00152BC6"/>
    <w:rsid w:val="0015312A"/>
    <w:rsid w:val="00154C5A"/>
    <w:rsid w:val="00156C52"/>
    <w:rsid w:val="0016757C"/>
    <w:rsid w:val="00173AC5"/>
    <w:rsid w:val="001764B6"/>
    <w:rsid w:val="00177194"/>
    <w:rsid w:val="001912D1"/>
    <w:rsid w:val="001954EB"/>
    <w:rsid w:val="001956F1"/>
    <w:rsid w:val="001A0006"/>
    <w:rsid w:val="001A1CE5"/>
    <w:rsid w:val="001A50AE"/>
    <w:rsid w:val="001A7510"/>
    <w:rsid w:val="001A7C7E"/>
    <w:rsid w:val="001B4F90"/>
    <w:rsid w:val="001B50FC"/>
    <w:rsid w:val="001B596B"/>
    <w:rsid w:val="001B6B13"/>
    <w:rsid w:val="001B7F71"/>
    <w:rsid w:val="001C50F2"/>
    <w:rsid w:val="001D7B7B"/>
    <w:rsid w:val="001F26A1"/>
    <w:rsid w:val="00201033"/>
    <w:rsid w:val="00204892"/>
    <w:rsid w:val="002050AD"/>
    <w:rsid w:val="0021059D"/>
    <w:rsid w:val="00214188"/>
    <w:rsid w:val="0022055C"/>
    <w:rsid w:val="00221043"/>
    <w:rsid w:val="002225F1"/>
    <w:rsid w:val="00223800"/>
    <w:rsid w:val="002264EF"/>
    <w:rsid w:val="00226947"/>
    <w:rsid w:val="00227FD1"/>
    <w:rsid w:val="00235CF6"/>
    <w:rsid w:val="0023671C"/>
    <w:rsid w:val="00236FEC"/>
    <w:rsid w:val="00247E04"/>
    <w:rsid w:val="00250F93"/>
    <w:rsid w:val="00251C28"/>
    <w:rsid w:val="00257DA5"/>
    <w:rsid w:val="00260147"/>
    <w:rsid w:val="00264052"/>
    <w:rsid w:val="002645FB"/>
    <w:rsid w:val="002700AD"/>
    <w:rsid w:val="00273366"/>
    <w:rsid w:val="002759E6"/>
    <w:rsid w:val="0028159F"/>
    <w:rsid w:val="0028184D"/>
    <w:rsid w:val="002850B3"/>
    <w:rsid w:val="00295A80"/>
    <w:rsid w:val="002A1827"/>
    <w:rsid w:val="002A2DC9"/>
    <w:rsid w:val="002C0854"/>
    <w:rsid w:val="002C1841"/>
    <w:rsid w:val="002C6BBC"/>
    <w:rsid w:val="002D2309"/>
    <w:rsid w:val="002D265E"/>
    <w:rsid w:val="002D3CF3"/>
    <w:rsid w:val="002E29C9"/>
    <w:rsid w:val="002F447E"/>
    <w:rsid w:val="00300B0A"/>
    <w:rsid w:val="0030242B"/>
    <w:rsid w:val="003043DF"/>
    <w:rsid w:val="00304AB3"/>
    <w:rsid w:val="0030562E"/>
    <w:rsid w:val="00306A65"/>
    <w:rsid w:val="00310166"/>
    <w:rsid w:val="00312B7C"/>
    <w:rsid w:val="00312FB6"/>
    <w:rsid w:val="0031489A"/>
    <w:rsid w:val="00317315"/>
    <w:rsid w:val="003201E8"/>
    <w:rsid w:val="003253CA"/>
    <w:rsid w:val="00325C56"/>
    <w:rsid w:val="003308A3"/>
    <w:rsid w:val="00331682"/>
    <w:rsid w:val="00340171"/>
    <w:rsid w:val="00347442"/>
    <w:rsid w:val="003642BE"/>
    <w:rsid w:val="003701D0"/>
    <w:rsid w:val="00371754"/>
    <w:rsid w:val="00371943"/>
    <w:rsid w:val="0037716A"/>
    <w:rsid w:val="00384C41"/>
    <w:rsid w:val="003931B1"/>
    <w:rsid w:val="003A34B0"/>
    <w:rsid w:val="003B7E74"/>
    <w:rsid w:val="003C304B"/>
    <w:rsid w:val="003C3673"/>
    <w:rsid w:val="003D2BFA"/>
    <w:rsid w:val="003D457A"/>
    <w:rsid w:val="003E0559"/>
    <w:rsid w:val="003E2ECD"/>
    <w:rsid w:val="003E3AEC"/>
    <w:rsid w:val="003E3D85"/>
    <w:rsid w:val="003F02CE"/>
    <w:rsid w:val="003F5D85"/>
    <w:rsid w:val="004038FB"/>
    <w:rsid w:val="00405F99"/>
    <w:rsid w:val="004066EF"/>
    <w:rsid w:val="00410078"/>
    <w:rsid w:val="00411398"/>
    <w:rsid w:val="00416715"/>
    <w:rsid w:val="00427CAA"/>
    <w:rsid w:val="004324A7"/>
    <w:rsid w:val="00432AEB"/>
    <w:rsid w:val="004339A0"/>
    <w:rsid w:val="00434B90"/>
    <w:rsid w:val="0043512E"/>
    <w:rsid w:val="0043523C"/>
    <w:rsid w:val="00441E07"/>
    <w:rsid w:val="004448F8"/>
    <w:rsid w:val="00444C9A"/>
    <w:rsid w:val="00446B2A"/>
    <w:rsid w:val="00450892"/>
    <w:rsid w:val="00453B76"/>
    <w:rsid w:val="0045769A"/>
    <w:rsid w:val="00476996"/>
    <w:rsid w:val="0048115B"/>
    <w:rsid w:val="00497B8F"/>
    <w:rsid w:val="004A3CC5"/>
    <w:rsid w:val="004A7D3F"/>
    <w:rsid w:val="004B5382"/>
    <w:rsid w:val="004B7F00"/>
    <w:rsid w:val="004C0405"/>
    <w:rsid w:val="004C15B3"/>
    <w:rsid w:val="004D00A8"/>
    <w:rsid w:val="004D171F"/>
    <w:rsid w:val="004E2638"/>
    <w:rsid w:val="004E2B92"/>
    <w:rsid w:val="004E361D"/>
    <w:rsid w:val="004E39FF"/>
    <w:rsid w:val="004E3DAC"/>
    <w:rsid w:val="004E4BC6"/>
    <w:rsid w:val="004E6D98"/>
    <w:rsid w:val="004E6F95"/>
    <w:rsid w:val="004F0CFD"/>
    <w:rsid w:val="004F101B"/>
    <w:rsid w:val="004F1756"/>
    <w:rsid w:val="004F2343"/>
    <w:rsid w:val="004F2D92"/>
    <w:rsid w:val="004F415C"/>
    <w:rsid w:val="00501D6F"/>
    <w:rsid w:val="005054D0"/>
    <w:rsid w:val="00505FA8"/>
    <w:rsid w:val="005071C0"/>
    <w:rsid w:val="005106B0"/>
    <w:rsid w:val="00514723"/>
    <w:rsid w:val="005217BE"/>
    <w:rsid w:val="00522735"/>
    <w:rsid w:val="00524034"/>
    <w:rsid w:val="005362E2"/>
    <w:rsid w:val="00546186"/>
    <w:rsid w:val="005467FA"/>
    <w:rsid w:val="00553550"/>
    <w:rsid w:val="005608D7"/>
    <w:rsid w:val="005618BC"/>
    <w:rsid w:val="005724AC"/>
    <w:rsid w:val="00576369"/>
    <w:rsid w:val="00585317"/>
    <w:rsid w:val="00595CC9"/>
    <w:rsid w:val="00597F87"/>
    <w:rsid w:val="005A067E"/>
    <w:rsid w:val="005A2292"/>
    <w:rsid w:val="005B15D5"/>
    <w:rsid w:val="005B632E"/>
    <w:rsid w:val="005C2040"/>
    <w:rsid w:val="005C491B"/>
    <w:rsid w:val="005C744A"/>
    <w:rsid w:val="005D0481"/>
    <w:rsid w:val="005D24C7"/>
    <w:rsid w:val="005D45AE"/>
    <w:rsid w:val="005D688B"/>
    <w:rsid w:val="005E5536"/>
    <w:rsid w:val="005F1C47"/>
    <w:rsid w:val="005F226C"/>
    <w:rsid w:val="005F51DF"/>
    <w:rsid w:val="006014E7"/>
    <w:rsid w:val="00602CE3"/>
    <w:rsid w:val="0061448E"/>
    <w:rsid w:val="00620E11"/>
    <w:rsid w:val="0063296F"/>
    <w:rsid w:val="006369F0"/>
    <w:rsid w:val="0064654D"/>
    <w:rsid w:val="0065253C"/>
    <w:rsid w:val="00657D32"/>
    <w:rsid w:val="00660C1F"/>
    <w:rsid w:val="00665FFC"/>
    <w:rsid w:val="0067175C"/>
    <w:rsid w:val="00673229"/>
    <w:rsid w:val="00691196"/>
    <w:rsid w:val="0069197B"/>
    <w:rsid w:val="00694D97"/>
    <w:rsid w:val="006959B1"/>
    <w:rsid w:val="0069747F"/>
    <w:rsid w:val="0069772E"/>
    <w:rsid w:val="006A0F2D"/>
    <w:rsid w:val="006A4EE1"/>
    <w:rsid w:val="006B2E93"/>
    <w:rsid w:val="006B7F2A"/>
    <w:rsid w:val="006C56F4"/>
    <w:rsid w:val="006D00E8"/>
    <w:rsid w:val="006D1624"/>
    <w:rsid w:val="006E3890"/>
    <w:rsid w:val="006F114C"/>
    <w:rsid w:val="006F414F"/>
    <w:rsid w:val="006F62CD"/>
    <w:rsid w:val="0071271C"/>
    <w:rsid w:val="00717D24"/>
    <w:rsid w:val="00722ED2"/>
    <w:rsid w:val="00725912"/>
    <w:rsid w:val="00730898"/>
    <w:rsid w:val="0074264E"/>
    <w:rsid w:val="00744461"/>
    <w:rsid w:val="0074529D"/>
    <w:rsid w:val="00747A76"/>
    <w:rsid w:val="00750C3A"/>
    <w:rsid w:val="0076094E"/>
    <w:rsid w:val="00761BFA"/>
    <w:rsid w:val="00762908"/>
    <w:rsid w:val="00763B95"/>
    <w:rsid w:val="00764324"/>
    <w:rsid w:val="00771B37"/>
    <w:rsid w:val="00780EF1"/>
    <w:rsid w:val="007853BF"/>
    <w:rsid w:val="00795F34"/>
    <w:rsid w:val="007A0426"/>
    <w:rsid w:val="007A6D02"/>
    <w:rsid w:val="007B09F5"/>
    <w:rsid w:val="007B1CAD"/>
    <w:rsid w:val="007B4E81"/>
    <w:rsid w:val="007C06A2"/>
    <w:rsid w:val="007C438A"/>
    <w:rsid w:val="007C6DCB"/>
    <w:rsid w:val="007C77DC"/>
    <w:rsid w:val="007D431E"/>
    <w:rsid w:val="007D65CB"/>
    <w:rsid w:val="007E3572"/>
    <w:rsid w:val="007E6782"/>
    <w:rsid w:val="007F0634"/>
    <w:rsid w:val="007F1D14"/>
    <w:rsid w:val="007F290D"/>
    <w:rsid w:val="00801E99"/>
    <w:rsid w:val="00813FED"/>
    <w:rsid w:val="00814A02"/>
    <w:rsid w:val="00814FD3"/>
    <w:rsid w:val="008151DA"/>
    <w:rsid w:val="00815930"/>
    <w:rsid w:val="00821A5C"/>
    <w:rsid w:val="0082447D"/>
    <w:rsid w:val="00825145"/>
    <w:rsid w:val="00826B17"/>
    <w:rsid w:val="00831F5C"/>
    <w:rsid w:val="00833EC7"/>
    <w:rsid w:val="00833FC6"/>
    <w:rsid w:val="0083554C"/>
    <w:rsid w:val="00841AFB"/>
    <w:rsid w:val="00850644"/>
    <w:rsid w:val="008517F5"/>
    <w:rsid w:val="008611EC"/>
    <w:rsid w:val="00862B5E"/>
    <w:rsid w:val="0086304B"/>
    <w:rsid w:val="0086749F"/>
    <w:rsid w:val="00871FE0"/>
    <w:rsid w:val="008720CA"/>
    <w:rsid w:val="0087241A"/>
    <w:rsid w:val="00873CE3"/>
    <w:rsid w:val="00875ECF"/>
    <w:rsid w:val="008838AB"/>
    <w:rsid w:val="00885D3E"/>
    <w:rsid w:val="00890188"/>
    <w:rsid w:val="008955BD"/>
    <w:rsid w:val="008B0E33"/>
    <w:rsid w:val="008B73CF"/>
    <w:rsid w:val="008D1B33"/>
    <w:rsid w:val="008D1C45"/>
    <w:rsid w:val="008D1D57"/>
    <w:rsid w:val="008D5E59"/>
    <w:rsid w:val="008D67CA"/>
    <w:rsid w:val="008D7EE4"/>
    <w:rsid w:val="008E7DA8"/>
    <w:rsid w:val="008F10A5"/>
    <w:rsid w:val="008F2CFA"/>
    <w:rsid w:val="00904958"/>
    <w:rsid w:val="0091134C"/>
    <w:rsid w:val="009141EA"/>
    <w:rsid w:val="00915237"/>
    <w:rsid w:val="009155B3"/>
    <w:rsid w:val="00917D49"/>
    <w:rsid w:val="009213B8"/>
    <w:rsid w:val="00922473"/>
    <w:rsid w:val="009239F2"/>
    <w:rsid w:val="00934E30"/>
    <w:rsid w:val="00935810"/>
    <w:rsid w:val="009419EA"/>
    <w:rsid w:val="009427CA"/>
    <w:rsid w:val="00943391"/>
    <w:rsid w:val="00943A80"/>
    <w:rsid w:val="00945268"/>
    <w:rsid w:val="009453AF"/>
    <w:rsid w:val="00950690"/>
    <w:rsid w:val="00950CB0"/>
    <w:rsid w:val="0095186F"/>
    <w:rsid w:val="009539D9"/>
    <w:rsid w:val="00957D91"/>
    <w:rsid w:val="00963603"/>
    <w:rsid w:val="00963A30"/>
    <w:rsid w:val="00965786"/>
    <w:rsid w:val="00965CE2"/>
    <w:rsid w:val="00972A57"/>
    <w:rsid w:val="00974093"/>
    <w:rsid w:val="00980914"/>
    <w:rsid w:val="009824E5"/>
    <w:rsid w:val="009877A8"/>
    <w:rsid w:val="009A43DA"/>
    <w:rsid w:val="009A6990"/>
    <w:rsid w:val="009B2E16"/>
    <w:rsid w:val="009B4188"/>
    <w:rsid w:val="009B4631"/>
    <w:rsid w:val="009B4940"/>
    <w:rsid w:val="009E7167"/>
    <w:rsid w:val="009F5A12"/>
    <w:rsid w:val="00A0123B"/>
    <w:rsid w:val="00A01BB3"/>
    <w:rsid w:val="00A01FA1"/>
    <w:rsid w:val="00A06EF6"/>
    <w:rsid w:val="00A16450"/>
    <w:rsid w:val="00A22B6E"/>
    <w:rsid w:val="00A23E45"/>
    <w:rsid w:val="00A24FFE"/>
    <w:rsid w:val="00A34B44"/>
    <w:rsid w:val="00A50826"/>
    <w:rsid w:val="00A50ED7"/>
    <w:rsid w:val="00A601A2"/>
    <w:rsid w:val="00A64273"/>
    <w:rsid w:val="00A66790"/>
    <w:rsid w:val="00A75C54"/>
    <w:rsid w:val="00AA021D"/>
    <w:rsid w:val="00AA2359"/>
    <w:rsid w:val="00AA666C"/>
    <w:rsid w:val="00AB50AE"/>
    <w:rsid w:val="00AC1998"/>
    <w:rsid w:val="00AC1AC8"/>
    <w:rsid w:val="00AC1F0F"/>
    <w:rsid w:val="00AC32AE"/>
    <w:rsid w:val="00AC4186"/>
    <w:rsid w:val="00AC50DF"/>
    <w:rsid w:val="00AC6196"/>
    <w:rsid w:val="00AD5B7A"/>
    <w:rsid w:val="00AD5E9B"/>
    <w:rsid w:val="00AD72E4"/>
    <w:rsid w:val="00AE38B9"/>
    <w:rsid w:val="00AF2826"/>
    <w:rsid w:val="00AF3BE3"/>
    <w:rsid w:val="00AF429F"/>
    <w:rsid w:val="00AF6161"/>
    <w:rsid w:val="00AF6830"/>
    <w:rsid w:val="00B02E30"/>
    <w:rsid w:val="00B06676"/>
    <w:rsid w:val="00B06E22"/>
    <w:rsid w:val="00B103BB"/>
    <w:rsid w:val="00B25D90"/>
    <w:rsid w:val="00B31113"/>
    <w:rsid w:val="00B36DA0"/>
    <w:rsid w:val="00B5101D"/>
    <w:rsid w:val="00B51828"/>
    <w:rsid w:val="00B5267B"/>
    <w:rsid w:val="00B52DE4"/>
    <w:rsid w:val="00B5502B"/>
    <w:rsid w:val="00B6275B"/>
    <w:rsid w:val="00B66A66"/>
    <w:rsid w:val="00B67AF7"/>
    <w:rsid w:val="00B70390"/>
    <w:rsid w:val="00B763D3"/>
    <w:rsid w:val="00B82CD1"/>
    <w:rsid w:val="00B8480C"/>
    <w:rsid w:val="00B90B49"/>
    <w:rsid w:val="00B925CB"/>
    <w:rsid w:val="00B9362C"/>
    <w:rsid w:val="00B95B3E"/>
    <w:rsid w:val="00B95D74"/>
    <w:rsid w:val="00BA3842"/>
    <w:rsid w:val="00BA66FA"/>
    <w:rsid w:val="00BA7DD8"/>
    <w:rsid w:val="00BB1FCF"/>
    <w:rsid w:val="00BB21FA"/>
    <w:rsid w:val="00BB2388"/>
    <w:rsid w:val="00BB2A71"/>
    <w:rsid w:val="00BB3C4A"/>
    <w:rsid w:val="00BD089B"/>
    <w:rsid w:val="00BE0C77"/>
    <w:rsid w:val="00BE1E09"/>
    <w:rsid w:val="00BF1C52"/>
    <w:rsid w:val="00C0067C"/>
    <w:rsid w:val="00C043FA"/>
    <w:rsid w:val="00C1555C"/>
    <w:rsid w:val="00C1624A"/>
    <w:rsid w:val="00C17F3D"/>
    <w:rsid w:val="00C237BD"/>
    <w:rsid w:val="00C24128"/>
    <w:rsid w:val="00C30301"/>
    <w:rsid w:val="00C40913"/>
    <w:rsid w:val="00C41E8E"/>
    <w:rsid w:val="00C43C52"/>
    <w:rsid w:val="00C51F22"/>
    <w:rsid w:val="00C52FEA"/>
    <w:rsid w:val="00C53B1F"/>
    <w:rsid w:val="00C64828"/>
    <w:rsid w:val="00C64E2E"/>
    <w:rsid w:val="00C66B9D"/>
    <w:rsid w:val="00C67600"/>
    <w:rsid w:val="00C76EA3"/>
    <w:rsid w:val="00C77B55"/>
    <w:rsid w:val="00C832B5"/>
    <w:rsid w:val="00C86B1A"/>
    <w:rsid w:val="00C90767"/>
    <w:rsid w:val="00C91945"/>
    <w:rsid w:val="00CA5AAB"/>
    <w:rsid w:val="00CA75F0"/>
    <w:rsid w:val="00CB5D4E"/>
    <w:rsid w:val="00CB607B"/>
    <w:rsid w:val="00CB68C7"/>
    <w:rsid w:val="00CB7C61"/>
    <w:rsid w:val="00CC1C85"/>
    <w:rsid w:val="00CC3197"/>
    <w:rsid w:val="00CC45AE"/>
    <w:rsid w:val="00CD1B5D"/>
    <w:rsid w:val="00CD2126"/>
    <w:rsid w:val="00CE171C"/>
    <w:rsid w:val="00CE3053"/>
    <w:rsid w:val="00CE5122"/>
    <w:rsid w:val="00CE56F1"/>
    <w:rsid w:val="00CE7BB4"/>
    <w:rsid w:val="00D00471"/>
    <w:rsid w:val="00D0353E"/>
    <w:rsid w:val="00D070ED"/>
    <w:rsid w:val="00D10980"/>
    <w:rsid w:val="00D11BE1"/>
    <w:rsid w:val="00D1206D"/>
    <w:rsid w:val="00D2019E"/>
    <w:rsid w:val="00D2655E"/>
    <w:rsid w:val="00D2788F"/>
    <w:rsid w:val="00D3133C"/>
    <w:rsid w:val="00D42E27"/>
    <w:rsid w:val="00D44A5D"/>
    <w:rsid w:val="00D44E6A"/>
    <w:rsid w:val="00D46F79"/>
    <w:rsid w:val="00D57C2F"/>
    <w:rsid w:val="00D71B6A"/>
    <w:rsid w:val="00D744CA"/>
    <w:rsid w:val="00D74BBD"/>
    <w:rsid w:val="00D76F19"/>
    <w:rsid w:val="00D77B01"/>
    <w:rsid w:val="00D802D6"/>
    <w:rsid w:val="00D804FF"/>
    <w:rsid w:val="00D80FDE"/>
    <w:rsid w:val="00D8599D"/>
    <w:rsid w:val="00DA2910"/>
    <w:rsid w:val="00DA3C77"/>
    <w:rsid w:val="00DA7221"/>
    <w:rsid w:val="00DC039E"/>
    <w:rsid w:val="00DD1307"/>
    <w:rsid w:val="00DD2310"/>
    <w:rsid w:val="00DD454E"/>
    <w:rsid w:val="00DD46A7"/>
    <w:rsid w:val="00DE2804"/>
    <w:rsid w:val="00E0505D"/>
    <w:rsid w:val="00E10D13"/>
    <w:rsid w:val="00E327DB"/>
    <w:rsid w:val="00E36413"/>
    <w:rsid w:val="00E450E7"/>
    <w:rsid w:val="00E45602"/>
    <w:rsid w:val="00E5256D"/>
    <w:rsid w:val="00E54A87"/>
    <w:rsid w:val="00E639CC"/>
    <w:rsid w:val="00E658E1"/>
    <w:rsid w:val="00E70E6C"/>
    <w:rsid w:val="00E75FB7"/>
    <w:rsid w:val="00E7646F"/>
    <w:rsid w:val="00E76729"/>
    <w:rsid w:val="00E76833"/>
    <w:rsid w:val="00E7743B"/>
    <w:rsid w:val="00E77D64"/>
    <w:rsid w:val="00E90A86"/>
    <w:rsid w:val="00E93C6A"/>
    <w:rsid w:val="00E94704"/>
    <w:rsid w:val="00E97EE3"/>
    <w:rsid w:val="00EA0175"/>
    <w:rsid w:val="00EA3AF8"/>
    <w:rsid w:val="00EA5B06"/>
    <w:rsid w:val="00EB1590"/>
    <w:rsid w:val="00EB6DBF"/>
    <w:rsid w:val="00EC1511"/>
    <w:rsid w:val="00EC26B8"/>
    <w:rsid w:val="00ED0173"/>
    <w:rsid w:val="00ED151D"/>
    <w:rsid w:val="00ED4FE1"/>
    <w:rsid w:val="00EE2B9B"/>
    <w:rsid w:val="00EE5062"/>
    <w:rsid w:val="00EE5794"/>
    <w:rsid w:val="00EF368B"/>
    <w:rsid w:val="00F021CE"/>
    <w:rsid w:val="00F0675C"/>
    <w:rsid w:val="00F14432"/>
    <w:rsid w:val="00F15444"/>
    <w:rsid w:val="00F22F37"/>
    <w:rsid w:val="00F2428B"/>
    <w:rsid w:val="00F37033"/>
    <w:rsid w:val="00F425C9"/>
    <w:rsid w:val="00F44005"/>
    <w:rsid w:val="00F45266"/>
    <w:rsid w:val="00F51D56"/>
    <w:rsid w:val="00F64805"/>
    <w:rsid w:val="00F66654"/>
    <w:rsid w:val="00F71904"/>
    <w:rsid w:val="00F732FB"/>
    <w:rsid w:val="00F73F75"/>
    <w:rsid w:val="00F74162"/>
    <w:rsid w:val="00F749E0"/>
    <w:rsid w:val="00F74E2E"/>
    <w:rsid w:val="00F760D4"/>
    <w:rsid w:val="00F85BCC"/>
    <w:rsid w:val="00F9093F"/>
    <w:rsid w:val="00F90953"/>
    <w:rsid w:val="00F96AAB"/>
    <w:rsid w:val="00F97C7D"/>
    <w:rsid w:val="00FA2712"/>
    <w:rsid w:val="00FA2E65"/>
    <w:rsid w:val="00FA4737"/>
    <w:rsid w:val="00FA69E3"/>
    <w:rsid w:val="00FA797C"/>
    <w:rsid w:val="00FB072C"/>
    <w:rsid w:val="00FB0FFA"/>
    <w:rsid w:val="00FB242A"/>
    <w:rsid w:val="00FB527F"/>
    <w:rsid w:val="00FC01FA"/>
    <w:rsid w:val="00FC42AD"/>
    <w:rsid w:val="00FE7061"/>
    <w:rsid w:val="00FF3A05"/>
    <w:rsid w:val="00FF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B8311"/>
  <w15:docId w15:val="{B4EEF5E9-1FC4-48D8-AE19-EEC6A650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9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09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09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980"/>
  </w:style>
  <w:style w:type="paragraph" w:styleId="Footer">
    <w:name w:val="footer"/>
    <w:basedOn w:val="Normal"/>
    <w:link w:val="FooterChar"/>
    <w:uiPriority w:val="99"/>
    <w:unhideWhenUsed/>
    <w:rsid w:val="00D10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980"/>
  </w:style>
  <w:style w:type="paragraph" w:styleId="BalloonText">
    <w:name w:val="Balloon Text"/>
    <w:basedOn w:val="Normal"/>
    <w:link w:val="BalloonTextChar"/>
    <w:uiPriority w:val="99"/>
    <w:semiHidden/>
    <w:unhideWhenUsed/>
    <w:rsid w:val="00D10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980"/>
    <w:rPr>
      <w:rFonts w:ascii="Tahoma" w:hAnsi="Tahoma" w:cs="Tahoma"/>
      <w:sz w:val="16"/>
      <w:szCs w:val="16"/>
    </w:rPr>
  </w:style>
  <w:style w:type="table" w:styleId="TableGrid">
    <w:name w:val="Table Grid"/>
    <w:basedOn w:val="TableNormal"/>
    <w:uiPriority w:val="59"/>
    <w:rsid w:val="00D10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980"/>
    <w:rPr>
      <w:sz w:val="16"/>
      <w:szCs w:val="16"/>
    </w:rPr>
  </w:style>
  <w:style w:type="paragraph" w:styleId="CommentText">
    <w:name w:val="annotation text"/>
    <w:basedOn w:val="Normal"/>
    <w:link w:val="CommentTextChar"/>
    <w:uiPriority w:val="99"/>
    <w:unhideWhenUsed/>
    <w:rsid w:val="00D10980"/>
    <w:pPr>
      <w:widowControl w:val="0"/>
      <w:spacing w:line="240" w:lineRule="auto"/>
    </w:pPr>
    <w:rPr>
      <w:sz w:val="20"/>
      <w:szCs w:val="20"/>
    </w:rPr>
  </w:style>
  <w:style w:type="character" w:customStyle="1" w:styleId="CommentTextChar">
    <w:name w:val="Comment Text Char"/>
    <w:basedOn w:val="DefaultParagraphFont"/>
    <w:link w:val="CommentText"/>
    <w:uiPriority w:val="99"/>
    <w:rsid w:val="00D10980"/>
    <w:rPr>
      <w:sz w:val="20"/>
      <w:szCs w:val="20"/>
    </w:rPr>
  </w:style>
  <w:style w:type="paragraph" w:styleId="ListParagraph">
    <w:name w:val="List Paragraph"/>
    <w:basedOn w:val="Normal"/>
    <w:uiPriority w:val="34"/>
    <w:qFormat/>
    <w:rsid w:val="00D10980"/>
    <w:pPr>
      <w:ind w:left="720"/>
      <w:contextualSpacing/>
    </w:pPr>
  </w:style>
  <w:style w:type="paragraph" w:styleId="Subtitle">
    <w:name w:val="Subtitle"/>
    <w:basedOn w:val="Normal"/>
    <w:next w:val="Normal"/>
    <w:link w:val="SubtitleChar"/>
    <w:uiPriority w:val="11"/>
    <w:qFormat/>
    <w:rsid w:val="00D109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1098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D10980"/>
    <w:rPr>
      <w:i/>
      <w:iCs/>
      <w:color w:val="808080" w:themeColor="text1" w:themeTint="7F"/>
    </w:rPr>
  </w:style>
  <w:style w:type="paragraph" w:styleId="NoSpacing">
    <w:name w:val="No Spacing"/>
    <w:uiPriority w:val="1"/>
    <w:qFormat/>
    <w:rsid w:val="00D10980"/>
    <w:pPr>
      <w:spacing w:after="0" w:line="240" w:lineRule="auto"/>
    </w:pPr>
  </w:style>
  <w:style w:type="character" w:customStyle="1" w:styleId="Heading1Char">
    <w:name w:val="Heading 1 Char"/>
    <w:basedOn w:val="DefaultParagraphFont"/>
    <w:link w:val="Heading1"/>
    <w:uiPriority w:val="9"/>
    <w:rsid w:val="00D109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09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0980"/>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B25D90"/>
    <w:pPr>
      <w:widowControl/>
    </w:pPr>
    <w:rPr>
      <w:b/>
      <w:bCs/>
    </w:rPr>
  </w:style>
  <w:style w:type="character" w:customStyle="1" w:styleId="CommentSubjectChar">
    <w:name w:val="Comment Subject Char"/>
    <w:basedOn w:val="CommentTextChar"/>
    <w:link w:val="CommentSubject"/>
    <w:uiPriority w:val="99"/>
    <w:semiHidden/>
    <w:rsid w:val="00B25D90"/>
    <w:rPr>
      <w:b/>
      <w:bCs/>
      <w:sz w:val="20"/>
      <w:szCs w:val="20"/>
    </w:rPr>
  </w:style>
  <w:style w:type="paragraph" w:styleId="Revision">
    <w:name w:val="Revision"/>
    <w:hidden/>
    <w:uiPriority w:val="99"/>
    <w:semiHidden/>
    <w:rsid w:val="00201033"/>
    <w:pPr>
      <w:spacing w:after="0" w:line="240" w:lineRule="auto"/>
    </w:pPr>
  </w:style>
  <w:style w:type="paragraph" w:customStyle="1" w:styleId="Default">
    <w:name w:val="Default"/>
    <w:rsid w:val="00AC4186"/>
    <w:pPr>
      <w:autoSpaceDE w:val="0"/>
      <w:autoSpaceDN w:val="0"/>
      <w:adjustRightInd w:val="0"/>
      <w:spacing w:after="0" w:line="240" w:lineRule="auto"/>
    </w:pPr>
    <w:rPr>
      <w:rFonts w:ascii="Arial" w:hAnsi="Arial" w:cs="Arial"/>
      <w:color w:val="000000"/>
      <w:sz w:val="24"/>
      <w:szCs w:val="24"/>
    </w:rPr>
  </w:style>
  <w:style w:type="paragraph" w:customStyle="1" w:styleId="tabletext">
    <w:name w:val="table text"/>
    <w:basedOn w:val="Normal"/>
    <w:rsid w:val="0091134C"/>
    <w:pPr>
      <w:spacing w:before="120" w:after="0" w:line="240" w:lineRule="auto"/>
    </w:pPr>
    <w:rPr>
      <w:rFonts w:ascii="Arial" w:eastAsia="Times New Roman" w:hAnsi="Arial" w:cs="Times New Roman"/>
      <w:sz w:val="20"/>
      <w:szCs w:val="20"/>
    </w:rPr>
  </w:style>
  <w:style w:type="character" w:styleId="Hyperlink">
    <w:name w:val="Hyperlink"/>
    <w:basedOn w:val="DefaultParagraphFont"/>
    <w:uiPriority w:val="99"/>
    <w:unhideWhenUsed/>
    <w:rsid w:val="00D44E6A"/>
    <w:rPr>
      <w:color w:val="0000FF" w:themeColor="hyperlink"/>
      <w:u w:val="single"/>
    </w:rPr>
  </w:style>
  <w:style w:type="paragraph" w:styleId="NormalWeb">
    <w:name w:val="Normal (Web)"/>
    <w:basedOn w:val="Normal"/>
    <w:uiPriority w:val="99"/>
    <w:unhideWhenUsed/>
    <w:rsid w:val="003148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7DA8"/>
    <w:rPr>
      <w:i/>
      <w:iCs/>
    </w:rPr>
  </w:style>
  <w:style w:type="character" w:styleId="FollowedHyperlink">
    <w:name w:val="FollowedHyperlink"/>
    <w:basedOn w:val="DefaultParagraphFont"/>
    <w:uiPriority w:val="99"/>
    <w:semiHidden/>
    <w:unhideWhenUsed/>
    <w:rsid w:val="007F1D14"/>
    <w:rPr>
      <w:color w:val="800080" w:themeColor="followedHyperlink"/>
      <w:u w:val="single"/>
    </w:rPr>
  </w:style>
  <w:style w:type="character" w:styleId="Strong">
    <w:name w:val="Strong"/>
    <w:basedOn w:val="DefaultParagraphFont"/>
    <w:uiPriority w:val="22"/>
    <w:qFormat/>
    <w:rsid w:val="004B7F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445">
      <w:bodyDiv w:val="1"/>
      <w:marLeft w:val="0"/>
      <w:marRight w:val="0"/>
      <w:marTop w:val="0"/>
      <w:marBottom w:val="0"/>
      <w:divBdr>
        <w:top w:val="none" w:sz="0" w:space="0" w:color="auto"/>
        <w:left w:val="none" w:sz="0" w:space="0" w:color="auto"/>
        <w:bottom w:val="none" w:sz="0" w:space="0" w:color="auto"/>
        <w:right w:val="none" w:sz="0" w:space="0" w:color="auto"/>
      </w:divBdr>
    </w:div>
    <w:div w:id="244537411">
      <w:bodyDiv w:val="1"/>
      <w:marLeft w:val="0"/>
      <w:marRight w:val="0"/>
      <w:marTop w:val="0"/>
      <w:marBottom w:val="0"/>
      <w:divBdr>
        <w:top w:val="none" w:sz="0" w:space="0" w:color="auto"/>
        <w:left w:val="none" w:sz="0" w:space="0" w:color="auto"/>
        <w:bottom w:val="none" w:sz="0" w:space="0" w:color="auto"/>
        <w:right w:val="none" w:sz="0" w:space="0" w:color="auto"/>
      </w:divBdr>
    </w:div>
    <w:div w:id="444152931">
      <w:bodyDiv w:val="1"/>
      <w:marLeft w:val="0"/>
      <w:marRight w:val="0"/>
      <w:marTop w:val="0"/>
      <w:marBottom w:val="0"/>
      <w:divBdr>
        <w:top w:val="none" w:sz="0" w:space="0" w:color="auto"/>
        <w:left w:val="none" w:sz="0" w:space="0" w:color="auto"/>
        <w:bottom w:val="none" w:sz="0" w:space="0" w:color="auto"/>
        <w:right w:val="none" w:sz="0" w:space="0" w:color="auto"/>
      </w:divBdr>
    </w:div>
    <w:div w:id="470489450">
      <w:bodyDiv w:val="1"/>
      <w:marLeft w:val="0"/>
      <w:marRight w:val="0"/>
      <w:marTop w:val="0"/>
      <w:marBottom w:val="0"/>
      <w:divBdr>
        <w:top w:val="none" w:sz="0" w:space="0" w:color="auto"/>
        <w:left w:val="none" w:sz="0" w:space="0" w:color="auto"/>
        <w:bottom w:val="none" w:sz="0" w:space="0" w:color="auto"/>
        <w:right w:val="none" w:sz="0" w:space="0" w:color="auto"/>
      </w:divBdr>
      <w:divsChild>
        <w:div w:id="1841506544">
          <w:marLeft w:val="0"/>
          <w:marRight w:val="0"/>
          <w:marTop w:val="150"/>
          <w:marBottom w:val="150"/>
          <w:divBdr>
            <w:top w:val="single" w:sz="6" w:space="0" w:color="9B9A7A"/>
            <w:left w:val="single" w:sz="6" w:space="0" w:color="9B9A7A"/>
            <w:bottom w:val="single" w:sz="6" w:space="0" w:color="9B9A7A"/>
            <w:right w:val="single" w:sz="6" w:space="0" w:color="9B9A7A"/>
          </w:divBdr>
          <w:divsChild>
            <w:div w:id="1953704232">
              <w:marLeft w:val="0"/>
              <w:marRight w:val="0"/>
              <w:marTop w:val="0"/>
              <w:marBottom w:val="0"/>
              <w:divBdr>
                <w:top w:val="none" w:sz="0" w:space="0" w:color="auto"/>
                <w:left w:val="none" w:sz="0" w:space="0" w:color="auto"/>
                <w:bottom w:val="none" w:sz="0" w:space="0" w:color="auto"/>
                <w:right w:val="none" w:sz="0" w:space="0" w:color="auto"/>
              </w:divBdr>
              <w:divsChild>
                <w:div w:id="305403648">
                  <w:marLeft w:val="3225"/>
                  <w:marRight w:val="225"/>
                  <w:marTop w:val="0"/>
                  <w:marBottom w:val="0"/>
                  <w:divBdr>
                    <w:top w:val="none" w:sz="0" w:space="0" w:color="auto"/>
                    <w:left w:val="none" w:sz="0" w:space="0" w:color="auto"/>
                    <w:bottom w:val="none" w:sz="0" w:space="0" w:color="auto"/>
                    <w:right w:val="none" w:sz="0" w:space="0" w:color="auto"/>
                  </w:divBdr>
                  <w:divsChild>
                    <w:div w:id="4299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18350">
      <w:bodyDiv w:val="1"/>
      <w:marLeft w:val="0"/>
      <w:marRight w:val="0"/>
      <w:marTop w:val="0"/>
      <w:marBottom w:val="0"/>
      <w:divBdr>
        <w:top w:val="none" w:sz="0" w:space="0" w:color="auto"/>
        <w:left w:val="none" w:sz="0" w:space="0" w:color="auto"/>
        <w:bottom w:val="none" w:sz="0" w:space="0" w:color="auto"/>
        <w:right w:val="none" w:sz="0" w:space="0" w:color="auto"/>
      </w:divBdr>
    </w:div>
    <w:div w:id="1058359080">
      <w:bodyDiv w:val="1"/>
      <w:marLeft w:val="0"/>
      <w:marRight w:val="0"/>
      <w:marTop w:val="0"/>
      <w:marBottom w:val="0"/>
      <w:divBdr>
        <w:top w:val="none" w:sz="0" w:space="0" w:color="auto"/>
        <w:left w:val="none" w:sz="0" w:space="0" w:color="auto"/>
        <w:bottom w:val="none" w:sz="0" w:space="0" w:color="auto"/>
        <w:right w:val="none" w:sz="0" w:space="0" w:color="auto"/>
      </w:divBdr>
    </w:div>
    <w:div w:id="1198855934">
      <w:bodyDiv w:val="1"/>
      <w:marLeft w:val="0"/>
      <w:marRight w:val="0"/>
      <w:marTop w:val="0"/>
      <w:marBottom w:val="0"/>
      <w:divBdr>
        <w:top w:val="none" w:sz="0" w:space="0" w:color="auto"/>
        <w:left w:val="none" w:sz="0" w:space="0" w:color="auto"/>
        <w:bottom w:val="none" w:sz="0" w:space="0" w:color="auto"/>
        <w:right w:val="none" w:sz="0" w:space="0" w:color="auto"/>
      </w:divBdr>
      <w:divsChild>
        <w:div w:id="930554033">
          <w:marLeft w:val="0"/>
          <w:marRight w:val="0"/>
          <w:marTop w:val="0"/>
          <w:marBottom w:val="0"/>
          <w:divBdr>
            <w:top w:val="none" w:sz="0" w:space="0" w:color="auto"/>
            <w:left w:val="none" w:sz="0" w:space="0" w:color="auto"/>
            <w:bottom w:val="none" w:sz="0" w:space="0" w:color="auto"/>
            <w:right w:val="none" w:sz="0" w:space="0" w:color="auto"/>
          </w:divBdr>
          <w:divsChild>
            <w:div w:id="775175684">
              <w:marLeft w:val="0"/>
              <w:marRight w:val="0"/>
              <w:marTop w:val="0"/>
              <w:marBottom w:val="0"/>
              <w:divBdr>
                <w:top w:val="none" w:sz="0" w:space="0" w:color="auto"/>
                <w:left w:val="none" w:sz="0" w:space="0" w:color="auto"/>
                <w:bottom w:val="none" w:sz="0" w:space="0" w:color="auto"/>
                <w:right w:val="none" w:sz="0" w:space="0" w:color="auto"/>
              </w:divBdr>
              <w:divsChild>
                <w:div w:id="1701734749">
                  <w:marLeft w:val="-120"/>
                  <w:marRight w:val="-120"/>
                  <w:marTop w:val="0"/>
                  <w:marBottom w:val="0"/>
                  <w:divBdr>
                    <w:top w:val="none" w:sz="0" w:space="0" w:color="auto"/>
                    <w:left w:val="none" w:sz="0" w:space="0" w:color="auto"/>
                    <w:bottom w:val="none" w:sz="0" w:space="0" w:color="auto"/>
                    <w:right w:val="none" w:sz="0" w:space="0" w:color="auto"/>
                  </w:divBdr>
                  <w:divsChild>
                    <w:div w:id="308677252">
                      <w:marLeft w:val="0"/>
                      <w:marRight w:val="0"/>
                      <w:marTop w:val="0"/>
                      <w:marBottom w:val="0"/>
                      <w:divBdr>
                        <w:top w:val="none" w:sz="0" w:space="0" w:color="auto"/>
                        <w:left w:val="none" w:sz="0" w:space="0" w:color="auto"/>
                        <w:bottom w:val="none" w:sz="0" w:space="0" w:color="auto"/>
                        <w:right w:val="none" w:sz="0" w:space="0" w:color="auto"/>
                      </w:divBdr>
                      <w:divsChild>
                        <w:div w:id="524096657">
                          <w:marLeft w:val="0"/>
                          <w:marRight w:val="0"/>
                          <w:marTop w:val="0"/>
                          <w:marBottom w:val="0"/>
                          <w:divBdr>
                            <w:top w:val="none" w:sz="0" w:space="0" w:color="auto"/>
                            <w:left w:val="none" w:sz="0" w:space="0" w:color="auto"/>
                            <w:bottom w:val="none" w:sz="0" w:space="0" w:color="auto"/>
                            <w:right w:val="none" w:sz="0" w:space="0" w:color="auto"/>
                          </w:divBdr>
                          <w:divsChild>
                            <w:div w:id="832913210">
                              <w:marLeft w:val="0"/>
                              <w:marRight w:val="0"/>
                              <w:marTop w:val="0"/>
                              <w:marBottom w:val="0"/>
                              <w:divBdr>
                                <w:top w:val="none" w:sz="0" w:space="0" w:color="auto"/>
                                <w:left w:val="none" w:sz="0" w:space="0" w:color="auto"/>
                                <w:bottom w:val="none" w:sz="0" w:space="0" w:color="auto"/>
                                <w:right w:val="none" w:sz="0" w:space="0" w:color="auto"/>
                              </w:divBdr>
                              <w:divsChild>
                                <w:div w:id="900755452">
                                  <w:marLeft w:val="0"/>
                                  <w:marRight w:val="0"/>
                                  <w:marTop w:val="0"/>
                                  <w:marBottom w:val="0"/>
                                  <w:divBdr>
                                    <w:top w:val="none" w:sz="0" w:space="0" w:color="auto"/>
                                    <w:left w:val="none" w:sz="0" w:space="0" w:color="auto"/>
                                    <w:bottom w:val="none" w:sz="0" w:space="0" w:color="auto"/>
                                    <w:right w:val="none" w:sz="0" w:space="0" w:color="auto"/>
                                  </w:divBdr>
                                  <w:divsChild>
                                    <w:div w:id="1379471990">
                                      <w:marLeft w:val="0"/>
                                      <w:marRight w:val="0"/>
                                      <w:marTop w:val="0"/>
                                      <w:marBottom w:val="0"/>
                                      <w:divBdr>
                                        <w:top w:val="none" w:sz="0" w:space="0" w:color="auto"/>
                                        <w:left w:val="none" w:sz="0" w:space="0" w:color="auto"/>
                                        <w:bottom w:val="none" w:sz="0" w:space="0" w:color="auto"/>
                                        <w:right w:val="none" w:sz="0" w:space="0" w:color="auto"/>
                                      </w:divBdr>
                                      <w:divsChild>
                                        <w:div w:id="953440061">
                                          <w:marLeft w:val="0"/>
                                          <w:marRight w:val="0"/>
                                          <w:marTop w:val="0"/>
                                          <w:marBottom w:val="0"/>
                                          <w:divBdr>
                                            <w:top w:val="none" w:sz="0" w:space="0" w:color="auto"/>
                                            <w:left w:val="none" w:sz="0" w:space="0" w:color="auto"/>
                                            <w:bottom w:val="none" w:sz="0" w:space="0" w:color="auto"/>
                                            <w:right w:val="none" w:sz="0" w:space="0" w:color="auto"/>
                                          </w:divBdr>
                                          <w:divsChild>
                                            <w:div w:id="760830106">
                                              <w:marLeft w:val="0"/>
                                              <w:marRight w:val="0"/>
                                              <w:marTop w:val="0"/>
                                              <w:marBottom w:val="0"/>
                                              <w:divBdr>
                                                <w:top w:val="none" w:sz="0" w:space="0" w:color="auto"/>
                                                <w:left w:val="none" w:sz="0" w:space="0" w:color="auto"/>
                                                <w:bottom w:val="none" w:sz="0" w:space="0" w:color="auto"/>
                                                <w:right w:val="none" w:sz="0" w:space="0" w:color="auto"/>
                                              </w:divBdr>
                                              <w:divsChild>
                                                <w:div w:id="408234578">
                                                  <w:marLeft w:val="0"/>
                                                  <w:marRight w:val="0"/>
                                                  <w:marTop w:val="0"/>
                                                  <w:marBottom w:val="0"/>
                                                  <w:divBdr>
                                                    <w:top w:val="none" w:sz="0" w:space="0" w:color="auto"/>
                                                    <w:left w:val="none" w:sz="0" w:space="0" w:color="auto"/>
                                                    <w:bottom w:val="none" w:sz="0" w:space="0" w:color="auto"/>
                                                    <w:right w:val="none" w:sz="0" w:space="0" w:color="auto"/>
                                                  </w:divBdr>
                                                  <w:divsChild>
                                                    <w:div w:id="11751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173520">
      <w:bodyDiv w:val="1"/>
      <w:marLeft w:val="0"/>
      <w:marRight w:val="0"/>
      <w:marTop w:val="0"/>
      <w:marBottom w:val="0"/>
      <w:divBdr>
        <w:top w:val="none" w:sz="0" w:space="0" w:color="auto"/>
        <w:left w:val="none" w:sz="0" w:space="0" w:color="auto"/>
        <w:bottom w:val="none" w:sz="0" w:space="0" w:color="auto"/>
        <w:right w:val="none" w:sz="0" w:space="0" w:color="auto"/>
      </w:divBdr>
      <w:divsChild>
        <w:div w:id="74137009">
          <w:marLeft w:val="0"/>
          <w:marRight w:val="0"/>
          <w:marTop w:val="0"/>
          <w:marBottom w:val="0"/>
          <w:divBdr>
            <w:top w:val="none" w:sz="0" w:space="0" w:color="auto"/>
            <w:left w:val="none" w:sz="0" w:space="0" w:color="auto"/>
            <w:bottom w:val="none" w:sz="0" w:space="0" w:color="auto"/>
            <w:right w:val="none" w:sz="0" w:space="0" w:color="auto"/>
          </w:divBdr>
          <w:divsChild>
            <w:div w:id="207451668">
              <w:marLeft w:val="0"/>
              <w:marRight w:val="0"/>
              <w:marTop w:val="0"/>
              <w:marBottom w:val="0"/>
              <w:divBdr>
                <w:top w:val="none" w:sz="0" w:space="0" w:color="auto"/>
                <w:left w:val="none" w:sz="0" w:space="0" w:color="auto"/>
                <w:bottom w:val="none" w:sz="0" w:space="0" w:color="auto"/>
                <w:right w:val="none" w:sz="0" w:space="0" w:color="auto"/>
              </w:divBdr>
              <w:divsChild>
                <w:div w:id="436340016">
                  <w:marLeft w:val="0"/>
                  <w:marRight w:val="0"/>
                  <w:marTop w:val="0"/>
                  <w:marBottom w:val="0"/>
                  <w:divBdr>
                    <w:top w:val="none" w:sz="0" w:space="0" w:color="auto"/>
                    <w:left w:val="none" w:sz="0" w:space="0" w:color="auto"/>
                    <w:bottom w:val="none" w:sz="0" w:space="0" w:color="auto"/>
                    <w:right w:val="none" w:sz="0" w:space="0" w:color="auto"/>
                  </w:divBdr>
                  <w:divsChild>
                    <w:div w:id="13303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36049">
      <w:bodyDiv w:val="1"/>
      <w:marLeft w:val="0"/>
      <w:marRight w:val="0"/>
      <w:marTop w:val="0"/>
      <w:marBottom w:val="0"/>
      <w:divBdr>
        <w:top w:val="none" w:sz="0" w:space="0" w:color="auto"/>
        <w:left w:val="none" w:sz="0" w:space="0" w:color="auto"/>
        <w:bottom w:val="none" w:sz="0" w:space="0" w:color="auto"/>
        <w:right w:val="none" w:sz="0" w:space="0" w:color="auto"/>
      </w:divBdr>
      <w:divsChild>
        <w:div w:id="93940005">
          <w:marLeft w:val="0"/>
          <w:marRight w:val="0"/>
          <w:marTop w:val="0"/>
          <w:marBottom w:val="0"/>
          <w:divBdr>
            <w:top w:val="none" w:sz="0" w:space="0" w:color="auto"/>
            <w:left w:val="none" w:sz="0" w:space="0" w:color="auto"/>
            <w:bottom w:val="none" w:sz="0" w:space="0" w:color="auto"/>
            <w:right w:val="none" w:sz="0" w:space="0" w:color="auto"/>
          </w:divBdr>
          <w:divsChild>
            <w:div w:id="603538176">
              <w:marLeft w:val="0"/>
              <w:marRight w:val="0"/>
              <w:marTop w:val="0"/>
              <w:marBottom w:val="0"/>
              <w:divBdr>
                <w:top w:val="none" w:sz="0" w:space="0" w:color="auto"/>
                <w:left w:val="none" w:sz="0" w:space="0" w:color="auto"/>
                <w:bottom w:val="none" w:sz="0" w:space="0" w:color="auto"/>
                <w:right w:val="none" w:sz="0" w:space="0" w:color="auto"/>
              </w:divBdr>
              <w:divsChild>
                <w:div w:id="1193377388">
                  <w:marLeft w:val="0"/>
                  <w:marRight w:val="0"/>
                  <w:marTop w:val="0"/>
                  <w:marBottom w:val="0"/>
                  <w:divBdr>
                    <w:top w:val="none" w:sz="0" w:space="0" w:color="auto"/>
                    <w:left w:val="none" w:sz="0" w:space="0" w:color="auto"/>
                    <w:bottom w:val="none" w:sz="0" w:space="0" w:color="auto"/>
                    <w:right w:val="none" w:sz="0" w:space="0" w:color="auto"/>
                  </w:divBdr>
                  <w:divsChild>
                    <w:div w:id="15515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000888">
      <w:bodyDiv w:val="1"/>
      <w:marLeft w:val="0"/>
      <w:marRight w:val="0"/>
      <w:marTop w:val="0"/>
      <w:marBottom w:val="0"/>
      <w:divBdr>
        <w:top w:val="none" w:sz="0" w:space="0" w:color="auto"/>
        <w:left w:val="none" w:sz="0" w:space="0" w:color="auto"/>
        <w:bottom w:val="none" w:sz="0" w:space="0" w:color="auto"/>
        <w:right w:val="none" w:sz="0" w:space="0" w:color="auto"/>
      </w:divBdr>
      <w:divsChild>
        <w:div w:id="1612972504">
          <w:marLeft w:val="0"/>
          <w:marRight w:val="0"/>
          <w:marTop w:val="0"/>
          <w:marBottom w:val="0"/>
          <w:divBdr>
            <w:top w:val="none" w:sz="0" w:space="0" w:color="auto"/>
            <w:left w:val="none" w:sz="0" w:space="0" w:color="auto"/>
            <w:bottom w:val="none" w:sz="0" w:space="0" w:color="auto"/>
            <w:right w:val="none" w:sz="0" w:space="0" w:color="auto"/>
          </w:divBdr>
          <w:divsChild>
            <w:div w:id="1940721914">
              <w:marLeft w:val="0"/>
              <w:marRight w:val="0"/>
              <w:marTop w:val="0"/>
              <w:marBottom w:val="0"/>
              <w:divBdr>
                <w:top w:val="none" w:sz="0" w:space="0" w:color="auto"/>
                <w:left w:val="none" w:sz="0" w:space="0" w:color="auto"/>
                <w:bottom w:val="none" w:sz="0" w:space="0" w:color="auto"/>
                <w:right w:val="none" w:sz="0" w:space="0" w:color="auto"/>
              </w:divBdr>
              <w:divsChild>
                <w:div w:id="1513884499">
                  <w:marLeft w:val="0"/>
                  <w:marRight w:val="0"/>
                  <w:marTop w:val="0"/>
                  <w:marBottom w:val="0"/>
                  <w:divBdr>
                    <w:top w:val="none" w:sz="0" w:space="0" w:color="auto"/>
                    <w:left w:val="none" w:sz="0" w:space="0" w:color="auto"/>
                    <w:bottom w:val="none" w:sz="0" w:space="0" w:color="auto"/>
                    <w:right w:val="none" w:sz="0" w:space="0" w:color="auto"/>
                  </w:divBdr>
                  <w:divsChild>
                    <w:div w:id="43723461">
                      <w:marLeft w:val="0"/>
                      <w:marRight w:val="0"/>
                      <w:marTop w:val="0"/>
                      <w:marBottom w:val="0"/>
                      <w:divBdr>
                        <w:top w:val="none" w:sz="0" w:space="0" w:color="auto"/>
                        <w:left w:val="none" w:sz="0" w:space="0" w:color="auto"/>
                        <w:bottom w:val="none" w:sz="0" w:space="0" w:color="auto"/>
                        <w:right w:val="none" w:sz="0" w:space="0" w:color="auto"/>
                      </w:divBdr>
                      <w:divsChild>
                        <w:div w:id="1144009365">
                          <w:marLeft w:val="0"/>
                          <w:marRight w:val="0"/>
                          <w:marTop w:val="0"/>
                          <w:marBottom w:val="0"/>
                          <w:divBdr>
                            <w:top w:val="none" w:sz="0" w:space="0" w:color="auto"/>
                            <w:left w:val="none" w:sz="0" w:space="0" w:color="auto"/>
                            <w:bottom w:val="none" w:sz="0" w:space="0" w:color="auto"/>
                            <w:right w:val="none" w:sz="0" w:space="0" w:color="auto"/>
                          </w:divBdr>
                          <w:divsChild>
                            <w:div w:id="242299235">
                              <w:marLeft w:val="0"/>
                              <w:marRight w:val="0"/>
                              <w:marTop w:val="0"/>
                              <w:marBottom w:val="0"/>
                              <w:divBdr>
                                <w:top w:val="none" w:sz="0" w:space="0" w:color="auto"/>
                                <w:left w:val="none" w:sz="0" w:space="0" w:color="auto"/>
                                <w:bottom w:val="none" w:sz="0" w:space="0" w:color="auto"/>
                                <w:right w:val="none" w:sz="0" w:space="0" w:color="auto"/>
                              </w:divBdr>
                              <w:divsChild>
                                <w:div w:id="764571696">
                                  <w:marLeft w:val="-225"/>
                                  <w:marRight w:val="-225"/>
                                  <w:marTop w:val="0"/>
                                  <w:marBottom w:val="0"/>
                                  <w:divBdr>
                                    <w:top w:val="none" w:sz="0" w:space="0" w:color="auto"/>
                                    <w:left w:val="none" w:sz="0" w:space="0" w:color="auto"/>
                                    <w:bottom w:val="none" w:sz="0" w:space="0" w:color="auto"/>
                                    <w:right w:val="none" w:sz="0" w:space="0" w:color="auto"/>
                                  </w:divBdr>
                                  <w:divsChild>
                                    <w:div w:id="20770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609668">
      <w:bodyDiv w:val="1"/>
      <w:marLeft w:val="0"/>
      <w:marRight w:val="0"/>
      <w:marTop w:val="0"/>
      <w:marBottom w:val="0"/>
      <w:divBdr>
        <w:top w:val="none" w:sz="0" w:space="0" w:color="auto"/>
        <w:left w:val="none" w:sz="0" w:space="0" w:color="auto"/>
        <w:bottom w:val="none" w:sz="0" w:space="0" w:color="auto"/>
        <w:right w:val="none" w:sz="0" w:space="0" w:color="auto"/>
      </w:divBdr>
    </w:div>
    <w:div w:id="1823622862">
      <w:bodyDiv w:val="1"/>
      <w:marLeft w:val="0"/>
      <w:marRight w:val="0"/>
      <w:marTop w:val="0"/>
      <w:marBottom w:val="0"/>
      <w:divBdr>
        <w:top w:val="none" w:sz="0" w:space="0" w:color="auto"/>
        <w:left w:val="none" w:sz="0" w:space="0" w:color="auto"/>
        <w:bottom w:val="none" w:sz="0" w:space="0" w:color="auto"/>
        <w:right w:val="none" w:sz="0" w:space="0" w:color="auto"/>
      </w:divBdr>
    </w:div>
    <w:div w:id="1857160445">
      <w:bodyDiv w:val="1"/>
      <w:marLeft w:val="0"/>
      <w:marRight w:val="0"/>
      <w:marTop w:val="0"/>
      <w:marBottom w:val="0"/>
      <w:divBdr>
        <w:top w:val="none" w:sz="0" w:space="0" w:color="auto"/>
        <w:left w:val="none" w:sz="0" w:space="0" w:color="auto"/>
        <w:bottom w:val="none" w:sz="0" w:space="0" w:color="auto"/>
        <w:right w:val="none" w:sz="0" w:space="0" w:color="auto"/>
      </w:divBdr>
    </w:div>
    <w:div w:id="211577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retrieveECFR?gp=1&amp;SID=5b79c575275c2aa91f15b79964501546&amp;ty=HTML&amp;h=L&amp;mc=true&amp;n=sp21.1.56.c&amp;r=SUBPART" TargetMode="External"/><Relationship Id="rId18" Type="http://schemas.openxmlformats.org/officeDocument/2006/relationships/hyperlink" Target="http://research-compliance.umich.edu/operations-manual-quality-assurance-and-research-complian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research.medicine.umich.edu/office-research/institutional-review-boards-irbmed/guidance/glossary" TargetMode="External"/><Relationship Id="rId17" Type="http://schemas.openxmlformats.org/officeDocument/2006/relationships/hyperlink" Target="http://research-compliance.umich.edu/office-human-research-compliance-review-ohrcr" TargetMode="External"/><Relationship Id="rId2" Type="http://schemas.openxmlformats.org/officeDocument/2006/relationships/customXml" Target="../customXml/item2.xml"/><Relationship Id="rId16" Type="http://schemas.openxmlformats.org/officeDocument/2006/relationships/hyperlink" Target="https://database.ich.org/sites/default/files/E6_R2_Addendum.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compliance.umich.edu/human-subjects" TargetMode="External"/><Relationship Id="rId5" Type="http://schemas.openxmlformats.org/officeDocument/2006/relationships/numbering" Target="numbering.xml"/><Relationship Id="rId15" Type="http://schemas.openxmlformats.org/officeDocument/2006/relationships/hyperlink" Target="http://www.ich.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g.umich.edu/policy/303.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fr.gov/cgi-bin/text-idx?SID=d0bff1ef1c16aec48c8637520a7c5fa3&amp;mc=true&amp;node=se21.1.56_1108&amp;rgn=div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B1404EC7BC0419CD7E75017E6AB63" ma:contentTypeVersion="1" ma:contentTypeDescription="Create a new document." ma:contentTypeScope="" ma:versionID="4b90923551de16da4e72c5a749a9e133">
  <xsd:schema xmlns:xsd="http://www.w3.org/2001/XMLSchema" xmlns:xs="http://www.w3.org/2001/XMLSchema" xmlns:p="http://schemas.microsoft.com/office/2006/metadata/properties" xmlns:ns2="9a14c067-2504-4fea-af45-7a353ba52eaa" targetNamespace="http://schemas.microsoft.com/office/2006/metadata/properties" ma:root="true" ma:fieldsID="69bb055b1ffa9d59552c2d628c66495a" ns2:_="">
    <xsd:import namespace="9a14c067-2504-4fea-af45-7a353ba52ea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4c067-2504-4fea-af45-7a353ba52e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1267C-C3C9-4827-9A96-C8A8609EC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4c067-2504-4fea-af45-7a353ba52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6CF1D-5E31-45A0-A6EF-BB53E3BBAE6C}">
  <ds:schemaRefs>
    <ds:schemaRef ds:uri="http://schemas.microsoft.com/sharepoint/v3/contenttype/forms"/>
  </ds:schemaRefs>
</ds:datastoreItem>
</file>

<file path=customXml/itemProps3.xml><?xml version="1.0" encoding="utf-8"?>
<ds:datastoreItem xmlns:ds="http://schemas.openxmlformats.org/officeDocument/2006/customXml" ds:itemID="{14FA13A5-0F34-4D42-BCB0-8AEE627B1890}">
  <ds:schemaRefs>
    <ds:schemaRef ds:uri="http://schemas.openxmlformats.org/officeDocument/2006/bibliography"/>
  </ds:schemaRefs>
</ds:datastoreItem>
</file>

<file path=customXml/itemProps4.xml><?xml version="1.0" encoding="utf-8"?>
<ds:datastoreItem xmlns:ds="http://schemas.openxmlformats.org/officeDocument/2006/customXml" ds:itemID="{6663AA00-9E6F-4B62-8094-447FA621B16C}">
  <ds:schemaRefs>
    <ds:schemaRef ds:uri="http://schemas.microsoft.com/office/2006/metadata/properties"/>
    <ds:schemaRef ds:uri="http://schemas.openxmlformats.org/package/2006/metadata/core-properties"/>
    <ds:schemaRef ds:uri="http://purl.org/dc/dcmitype/"/>
    <ds:schemaRef ds:uri="9a14c067-2504-4fea-af45-7a353ba52eaa"/>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Burhop, Sue</dc:creator>
  <cp:lastModifiedBy>Benedict-Blue, Monika</cp:lastModifiedBy>
  <cp:revision>15</cp:revision>
  <cp:lastPrinted>2016-04-25T16:52:00Z</cp:lastPrinted>
  <dcterms:created xsi:type="dcterms:W3CDTF">2022-11-04T19:46:00Z</dcterms:created>
  <dcterms:modified xsi:type="dcterms:W3CDTF">2022-11-07T19:59:00Z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0x010100B48B1404EC7BC0419CD7E75017E6AB63</vt:lpwstr>
  </property>
</Properties>
</file>